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6F" w:rsidRPr="0078766B" w:rsidRDefault="00782A6F" w:rsidP="00782A6F">
      <w:pPr>
        <w:rPr>
          <w:rFonts w:ascii="黑体" w:eastAsia="黑体" w:hAnsi="宋体" w:hint="eastAsia"/>
          <w:sz w:val="28"/>
          <w:szCs w:val="28"/>
        </w:rPr>
      </w:pPr>
      <w:r w:rsidRPr="0078766B">
        <w:rPr>
          <w:rFonts w:ascii="黑体" w:eastAsia="黑体" w:hAnsi="宋体" w:hint="eastAsia"/>
          <w:sz w:val="28"/>
          <w:szCs w:val="28"/>
        </w:rPr>
        <w:t>附件1：</w:t>
      </w:r>
    </w:p>
    <w:p w:rsidR="00782A6F" w:rsidRDefault="00782A6F" w:rsidP="00782A6F">
      <w:pPr>
        <w:jc w:val="center"/>
        <w:rPr>
          <w:rFonts w:ascii="方正小标宋简体" w:eastAsia="方正小标宋简体" w:hint="eastAsia"/>
          <w:sz w:val="40"/>
          <w:szCs w:val="40"/>
        </w:rPr>
      </w:pPr>
    </w:p>
    <w:p w:rsidR="00782A6F" w:rsidRPr="00444A31" w:rsidRDefault="00782A6F" w:rsidP="00782A6F">
      <w:pPr>
        <w:jc w:val="center"/>
        <w:rPr>
          <w:rFonts w:ascii="方正小标宋简体" w:eastAsia="方正小标宋简体" w:hint="eastAsia"/>
          <w:sz w:val="40"/>
          <w:szCs w:val="40"/>
        </w:rPr>
      </w:pPr>
      <w:r w:rsidRPr="00444A31">
        <w:rPr>
          <w:rFonts w:ascii="方正小标宋简体" w:eastAsia="方正小标宋简体" w:hint="eastAsia"/>
          <w:sz w:val="40"/>
          <w:szCs w:val="40"/>
        </w:rPr>
        <w:t>增列硕士专业学位授权点基本条件</w:t>
      </w:r>
    </w:p>
    <w:p w:rsidR="00782A6F" w:rsidRPr="005E49DE" w:rsidRDefault="00782A6F" w:rsidP="00782A6F">
      <w:pPr>
        <w:rPr>
          <w:rFonts w:ascii="宋体" w:hAnsi="宋体" w:hint="eastAsia"/>
          <w:sz w:val="28"/>
          <w:szCs w:val="28"/>
        </w:rPr>
      </w:pPr>
    </w:p>
    <w:p w:rsidR="00782A6F" w:rsidRPr="00444A31" w:rsidRDefault="00782A6F" w:rsidP="00782A6F">
      <w:pPr>
        <w:tabs>
          <w:tab w:val="num" w:pos="180"/>
        </w:tabs>
        <w:adjustRightInd w:val="0"/>
        <w:snapToGrid w:val="0"/>
        <w:spacing w:line="600" w:lineRule="exact"/>
        <w:ind w:firstLineChars="200" w:firstLine="640"/>
        <w:outlineLvl w:val="0"/>
        <w:rPr>
          <w:rFonts w:ascii="黑体" w:eastAsia="黑体" w:hAnsi="黑体" w:hint="eastAsia"/>
          <w:sz w:val="32"/>
          <w:szCs w:val="32"/>
        </w:rPr>
      </w:pPr>
      <w:r w:rsidRPr="00444A31">
        <w:rPr>
          <w:rFonts w:ascii="黑体" w:eastAsia="黑体" w:hAnsi="黑体" w:hint="eastAsia"/>
          <w:sz w:val="32"/>
          <w:szCs w:val="32"/>
        </w:rPr>
        <w:t>一、专业人才需求与招生</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1.</w:t>
      </w:r>
      <w:r w:rsidRPr="00204AC8">
        <w:rPr>
          <w:rFonts w:eastAsia="方正仿宋简体" w:hint="eastAsia"/>
          <w:sz w:val="32"/>
          <w:szCs w:val="32"/>
        </w:rPr>
        <w:t xml:space="preserve"> </w:t>
      </w:r>
      <w:r w:rsidRPr="00204AC8">
        <w:rPr>
          <w:rFonts w:eastAsia="方正仿宋简体"/>
          <w:sz w:val="32"/>
          <w:szCs w:val="32"/>
        </w:rPr>
        <w:t>所申报专业学位授权</w:t>
      </w:r>
      <w:proofErr w:type="gramStart"/>
      <w:r w:rsidRPr="00204AC8">
        <w:rPr>
          <w:rFonts w:eastAsia="方正仿宋简体"/>
          <w:sz w:val="32"/>
          <w:szCs w:val="32"/>
        </w:rPr>
        <w:t>点培养</w:t>
      </w:r>
      <w:proofErr w:type="gramEnd"/>
      <w:r w:rsidRPr="00204AC8">
        <w:rPr>
          <w:rFonts w:eastAsia="方正仿宋简体"/>
          <w:sz w:val="32"/>
          <w:szCs w:val="32"/>
        </w:rPr>
        <w:t>的人才应具有长期稳定的市场需求，毕业生有良好的就业前景或相关职业发展状况良好；</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2.</w:t>
      </w:r>
      <w:r w:rsidRPr="00204AC8">
        <w:rPr>
          <w:rFonts w:eastAsia="方正仿宋简体" w:hint="eastAsia"/>
          <w:sz w:val="32"/>
          <w:szCs w:val="32"/>
        </w:rPr>
        <w:t xml:space="preserve"> </w:t>
      </w:r>
      <w:r w:rsidRPr="00204AC8">
        <w:rPr>
          <w:rFonts w:eastAsia="方正仿宋简体"/>
          <w:sz w:val="32"/>
          <w:szCs w:val="32"/>
        </w:rPr>
        <w:t>申报专业学位授权</w:t>
      </w:r>
      <w:proofErr w:type="gramStart"/>
      <w:r w:rsidRPr="00204AC8">
        <w:rPr>
          <w:rFonts w:eastAsia="方正仿宋简体"/>
          <w:sz w:val="32"/>
          <w:szCs w:val="32"/>
        </w:rPr>
        <w:t>点拥有</w:t>
      </w:r>
      <w:proofErr w:type="gramEnd"/>
      <w:r w:rsidRPr="00204AC8">
        <w:rPr>
          <w:rFonts w:eastAsia="方正仿宋简体"/>
          <w:sz w:val="32"/>
          <w:szCs w:val="32"/>
        </w:rPr>
        <w:t>充足、稳定的生源，申报单位有吸引优秀生源、保障招生规模的相关政策。</w:t>
      </w:r>
    </w:p>
    <w:p w:rsidR="00782A6F" w:rsidRPr="00204AC8" w:rsidRDefault="00782A6F" w:rsidP="00782A6F">
      <w:pPr>
        <w:adjustRightInd w:val="0"/>
        <w:snapToGrid w:val="0"/>
        <w:spacing w:line="600" w:lineRule="exact"/>
        <w:ind w:firstLineChars="200" w:firstLine="640"/>
        <w:rPr>
          <w:rFonts w:ascii="黑体" w:eastAsia="黑体" w:hAnsi="黑体" w:hint="eastAsia"/>
          <w:sz w:val="32"/>
          <w:szCs w:val="32"/>
        </w:rPr>
      </w:pPr>
      <w:r w:rsidRPr="00204AC8">
        <w:rPr>
          <w:rFonts w:ascii="仿宋" w:eastAsia="仿宋" w:hAnsi="仿宋" w:hint="eastAsia"/>
          <w:sz w:val="32"/>
          <w:szCs w:val="32"/>
        </w:rPr>
        <w:t xml:space="preserve"> </w:t>
      </w:r>
      <w:r w:rsidRPr="00204AC8">
        <w:rPr>
          <w:rFonts w:ascii="黑体" w:eastAsia="黑体" w:hAnsi="黑体" w:hint="eastAsia"/>
          <w:sz w:val="32"/>
          <w:szCs w:val="32"/>
        </w:rPr>
        <w:t>二、培养目标定位</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1.</w:t>
      </w:r>
      <w:r w:rsidRPr="00204AC8">
        <w:rPr>
          <w:rFonts w:eastAsia="方正仿宋简体" w:hint="eastAsia"/>
          <w:sz w:val="32"/>
          <w:szCs w:val="32"/>
        </w:rPr>
        <w:t xml:space="preserve"> </w:t>
      </w:r>
      <w:r w:rsidRPr="00204AC8">
        <w:rPr>
          <w:rFonts w:eastAsia="方正仿宋简体"/>
          <w:sz w:val="32"/>
          <w:szCs w:val="32"/>
        </w:rPr>
        <w:t>申报单位有体现专业学位研究生教育规律的办学理念，制定适应经济社会发展需要、符合职业导向的高层次应用型人才培养目标，人才培养体现行业针对性，注重创新能力和实践能力；</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2.</w:t>
      </w:r>
      <w:r w:rsidRPr="00204AC8">
        <w:rPr>
          <w:rFonts w:eastAsia="方正仿宋简体" w:hint="eastAsia"/>
          <w:sz w:val="32"/>
          <w:szCs w:val="32"/>
        </w:rPr>
        <w:t xml:space="preserve"> </w:t>
      </w:r>
      <w:r w:rsidRPr="00204AC8">
        <w:rPr>
          <w:rFonts w:eastAsia="方正仿宋简体"/>
          <w:sz w:val="32"/>
          <w:szCs w:val="32"/>
        </w:rPr>
        <w:t>申报专业学位授权点有未来五年建设发展规划，在机构、制度和经费等方面有切实可行的措施。</w:t>
      </w:r>
    </w:p>
    <w:p w:rsidR="00782A6F" w:rsidRPr="00204AC8" w:rsidRDefault="00782A6F" w:rsidP="00782A6F">
      <w:pPr>
        <w:adjustRightInd w:val="0"/>
        <w:snapToGrid w:val="0"/>
        <w:spacing w:line="600" w:lineRule="exact"/>
        <w:ind w:firstLineChars="200" w:firstLine="640"/>
        <w:outlineLvl w:val="0"/>
        <w:rPr>
          <w:rFonts w:ascii="黑体" w:eastAsia="黑体" w:hAnsi="黑体" w:hint="eastAsia"/>
          <w:sz w:val="32"/>
          <w:szCs w:val="32"/>
        </w:rPr>
      </w:pPr>
      <w:r w:rsidRPr="00204AC8">
        <w:rPr>
          <w:rFonts w:ascii="黑体" w:eastAsia="黑体" w:hAnsi="黑体" w:hint="eastAsia"/>
          <w:sz w:val="32"/>
          <w:szCs w:val="32"/>
        </w:rPr>
        <w:t>三、培养方案和培养模式</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1.</w:t>
      </w:r>
      <w:r w:rsidRPr="00204AC8">
        <w:rPr>
          <w:rFonts w:eastAsia="方正仿宋简体" w:hint="eastAsia"/>
          <w:sz w:val="32"/>
          <w:szCs w:val="32"/>
        </w:rPr>
        <w:t xml:space="preserve"> </w:t>
      </w:r>
      <w:r w:rsidRPr="00204AC8">
        <w:rPr>
          <w:rFonts w:eastAsia="方正仿宋简体"/>
          <w:sz w:val="32"/>
          <w:szCs w:val="32"/>
        </w:rPr>
        <w:t>申报单位与相关行（企）业共同制定培养方案，突出专业学位的特定职业岗位能力和职业素养要求；</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2.</w:t>
      </w:r>
      <w:r w:rsidRPr="00204AC8">
        <w:rPr>
          <w:rFonts w:eastAsia="方正仿宋简体" w:hint="eastAsia"/>
          <w:sz w:val="32"/>
          <w:szCs w:val="32"/>
        </w:rPr>
        <w:t xml:space="preserve"> </w:t>
      </w:r>
      <w:r w:rsidRPr="00204AC8">
        <w:rPr>
          <w:rFonts w:eastAsia="方正仿宋简体"/>
          <w:sz w:val="32"/>
          <w:szCs w:val="32"/>
        </w:rPr>
        <w:t>申报单位与相关行（企）业共同构建以提升职业能力为导向的专业学位研究生培养模式，注重产学结合，突出办</w:t>
      </w:r>
      <w:r w:rsidRPr="00204AC8">
        <w:rPr>
          <w:rFonts w:eastAsia="方正仿宋简体"/>
          <w:sz w:val="32"/>
          <w:szCs w:val="32"/>
        </w:rPr>
        <w:lastRenderedPageBreak/>
        <w:t>学特色；</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3.</w:t>
      </w:r>
      <w:r w:rsidRPr="00204AC8">
        <w:rPr>
          <w:rFonts w:eastAsia="方正仿宋简体" w:hint="eastAsia"/>
          <w:sz w:val="32"/>
          <w:szCs w:val="32"/>
        </w:rPr>
        <w:t xml:space="preserve"> </w:t>
      </w:r>
      <w:r w:rsidRPr="00204AC8">
        <w:rPr>
          <w:rFonts w:eastAsia="方正仿宋简体"/>
          <w:sz w:val="32"/>
          <w:szCs w:val="32"/>
        </w:rPr>
        <w:t>申报单位有与相关行（企）业长期合作的有效机制和措施，积极引导行（企）业参与培养全过程。</w:t>
      </w:r>
    </w:p>
    <w:p w:rsidR="00782A6F" w:rsidRPr="00204AC8" w:rsidRDefault="00782A6F" w:rsidP="00782A6F">
      <w:pPr>
        <w:adjustRightInd w:val="0"/>
        <w:snapToGrid w:val="0"/>
        <w:spacing w:line="600" w:lineRule="exact"/>
        <w:ind w:firstLineChars="200" w:firstLine="640"/>
        <w:outlineLvl w:val="0"/>
        <w:rPr>
          <w:rFonts w:ascii="黑体" w:eastAsia="黑体" w:hAnsi="黑体" w:hint="eastAsia"/>
          <w:sz w:val="32"/>
          <w:szCs w:val="32"/>
        </w:rPr>
      </w:pPr>
      <w:r w:rsidRPr="00204AC8">
        <w:rPr>
          <w:rFonts w:ascii="黑体" w:eastAsia="黑体" w:hAnsi="黑体" w:hint="eastAsia"/>
          <w:sz w:val="32"/>
          <w:szCs w:val="32"/>
        </w:rPr>
        <w:t>四、质量保障条件</w:t>
      </w:r>
    </w:p>
    <w:p w:rsidR="00782A6F" w:rsidRPr="00204AC8" w:rsidRDefault="00782A6F" w:rsidP="00782A6F">
      <w:pPr>
        <w:adjustRightInd w:val="0"/>
        <w:snapToGrid w:val="0"/>
        <w:spacing w:line="600" w:lineRule="exact"/>
        <w:ind w:firstLineChars="200" w:firstLine="640"/>
        <w:outlineLvl w:val="0"/>
        <w:rPr>
          <w:rFonts w:eastAsia="方正仿宋简体"/>
          <w:sz w:val="32"/>
          <w:szCs w:val="32"/>
        </w:rPr>
      </w:pPr>
      <w:r w:rsidRPr="00204AC8">
        <w:rPr>
          <w:rFonts w:eastAsia="方正仿宋简体"/>
          <w:sz w:val="32"/>
          <w:szCs w:val="32"/>
        </w:rPr>
        <w:t>（一）师资条件</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1.</w:t>
      </w:r>
      <w:r w:rsidRPr="00204AC8">
        <w:rPr>
          <w:rFonts w:eastAsia="方正仿宋简体" w:hint="eastAsia"/>
          <w:sz w:val="32"/>
          <w:szCs w:val="32"/>
        </w:rPr>
        <w:t xml:space="preserve"> </w:t>
      </w:r>
      <w:r w:rsidRPr="00204AC8">
        <w:rPr>
          <w:rFonts w:eastAsia="方正仿宋简体"/>
          <w:sz w:val="32"/>
          <w:szCs w:val="32"/>
        </w:rPr>
        <w:t>有申报单位与行（企）业共同建设的专业化教学团队和导师团队；</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2.</w:t>
      </w:r>
      <w:r w:rsidRPr="00204AC8">
        <w:rPr>
          <w:rFonts w:eastAsia="方正仿宋简体" w:hint="eastAsia"/>
          <w:sz w:val="32"/>
          <w:szCs w:val="32"/>
        </w:rPr>
        <w:t xml:space="preserve"> </w:t>
      </w:r>
      <w:r w:rsidRPr="00204AC8">
        <w:rPr>
          <w:rFonts w:eastAsia="方正仿宋简体"/>
          <w:sz w:val="32"/>
          <w:szCs w:val="32"/>
        </w:rPr>
        <w:t>申报专业学位授权点有一定数量具备实践能力和理论基础的专职教师；</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3.</w:t>
      </w:r>
      <w:r w:rsidRPr="00204AC8">
        <w:rPr>
          <w:rFonts w:eastAsia="方正仿宋简体" w:hint="eastAsia"/>
          <w:sz w:val="32"/>
          <w:szCs w:val="32"/>
        </w:rPr>
        <w:t xml:space="preserve"> </w:t>
      </w:r>
      <w:r w:rsidRPr="00204AC8">
        <w:rPr>
          <w:rFonts w:eastAsia="方正仿宋简体"/>
          <w:sz w:val="32"/>
          <w:szCs w:val="32"/>
        </w:rPr>
        <w:t>兼职教师达到一定比例，能够实行双导师制。</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（二）教学条件</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1.</w:t>
      </w:r>
      <w:r w:rsidRPr="00204AC8">
        <w:rPr>
          <w:rFonts w:eastAsia="方正仿宋简体" w:hint="eastAsia"/>
          <w:sz w:val="32"/>
          <w:szCs w:val="32"/>
        </w:rPr>
        <w:t xml:space="preserve"> </w:t>
      </w:r>
      <w:r w:rsidRPr="00204AC8">
        <w:rPr>
          <w:rFonts w:eastAsia="方正仿宋简体"/>
          <w:sz w:val="32"/>
          <w:szCs w:val="32"/>
        </w:rPr>
        <w:t>有符合特定职业岗位需求的课程体系；</w:t>
      </w:r>
      <w:r w:rsidRPr="00204AC8">
        <w:rPr>
          <w:rFonts w:eastAsia="方正仿宋简体"/>
          <w:sz w:val="32"/>
          <w:szCs w:val="32"/>
        </w:rPr>
        <w:t xml:space="preserve"> </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2.</w:t>
      </w:r>
      <w:r w:rsidRPr="00204AC8">
        <w:rPr>
          <w:rFonts w:eastAsia="方正仿宋简体" w:hint="eastAsia"/>
          <w:sz w:val="32"/>
          <w:szCs w:val="32"/>
        </w:rPr>
        <w:t xml:space="preserve"> </w:t>
      </w:r>
      <w:r w:rsidRPr="00204AC8">
        <w:rPr>
          <w:rFonts w:eastAsia="方正仿宋简体"/>
          <w:sz w:val="32"/>
          <w:szCs w:val="32"/>
        </w:rPr>
        <w:t>有符合专业学位研究生培养特点的教学模式；</w:t>
      </w:r>
      <w:r w:rsidRPr="00204AC8">
        <w:rPr>
          <w:rFonts w:eastAsia="方正仿宋简体"/>
          <w:sz w:val="32"/>
          <w:szCs w:val="32"/>
        </w:rPr>
        <w:t xml:space="preserve"> </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3.</w:t>
      </w:r>
      <w:r w:rsidRPr="00204AC8">
        <w:rPr>
          <w:rFonts w:eastAsia="方正仿宋简体" w:hint="eastAsia"/>
          <w:sz w:val="32"/>
          <w:szCs w:val="32"/>
        </w:rPr>
        <w:t xml:space="preserve"> </w:t>
      </w:r>
      <w:r w:rsidRPr="00204AC8">
        <w:rPr>
          <w:rFonts w:eastAsia="方正仿宋简体"/>
          <w:sz w:val="32"/>
          <w:szCs w:val="32"/>
        </w:rPr>
        <w:t>有足够的专业文献资料、现代化教学设施和实践教学条件。</w:t>
      </w:r>
    </w:p>
    <w:p w:rsidR="00782A6F" w:rsidRPr="00204AC8" w:rsidRDefault="00782A6F" w:rsidP="00782A6F">
      <w:pPr>
        <w:adjustRightInd w:val="0"/>
        <w:snapToGrid w:val="0"/>
        <w:spacing w:line="600" w:lineRule="exact"/>
        <w:ind w:firstLineChars="200" w:firstLine="640"/>
        <w:outlineLvl w:val="0"/>
        <w:rPr>
          <w:rFonts w:eastAsia="方正仿宋简体"/>
          <w:sz w:val="32"/>
          <w:szCs w:val="32"/>
        </w:rPr>
      </w:pPr>
      <w:r w:rsidRPr="00204AC8">
        <w:rPr>
          <w:rFonts w:eastAsia="方正仿宋简体"/>
          <w:sz w:val="32"/>
          <w:szCs w:val="32"/>
        </w:rPr>
        <w:t>（三）实践基地</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1.</w:t>
      </w:r>
      <w:r w:rsidRPr="00204AC8">
        <w:rPr>
          <w:rFonts w:eastAsia="方正仿宋简体" w:hint="eastAsia"/>
          <w:sz w:val="32"/>
          <w:szCs w:val="32"/>
        </w:rPr>
        <w:t xml:space="preserve"> </w:t>
      </w:r>
      <w:r w:rsidRPr="00204AC8">
        <w:rPr>
          <w:rFonts w:eastAsia="方正仿宋简体"/>
          <w:sz w:val="32"/>
          <w:szCs w:val="32"/>
        </w:rPr>
        <w:t>有数量充足、职责明确、长期稳定的实践基地和健全的管理制度；</w:t>
      </w:r>
    </w:p>
    <w:p w:rsidR="00782A6F" w:rsidRPr="00204AC8" w:rsidRDefault="00782A6F" w:rsidP="00782A6F">
      <w:pPr>
        <w:adjustRightInd w:val="0"/>
        <w:snapToGrid w:val="0"/>
        <w:spacing w:line="600" w:lineRule="exact"/>
        <w:ind w:firstLineChars="200" w:firstLine="640"/>
        <w:rPr>
          <w:rFonts w:eastAsia="方正仿宋简体"/>
          <w:sz w:val="32"/>
          <w:szCs w:val="32"/>
        </w:rPr>
      </w:pPr>
      <w:r w:rsidRPr="00204AC8">
        <w:rPr>
          <w:rFonts w:eastAsia="方正仿宋简体"/>
          <w:sz w:val="32"/>
          <w:szCs w:val="32"/>
        </w:rPr>
        <w:t>2.</w:t>
      </w:r>
      <w:r w:rsidRPr="00204AC8">
        <w:rPr>
          <w:rFonts w:eastAsia="方正仿宋简体" w:hint="eastAsia"/>
          <w:sz w:val="32"/>
          <w:szCs w:val="32"/>
        </w:rPr>
        <w:t xml:space="preserve"> </w:t>
      </w:r>
      <w:r w:rsidRPr="00204AC8">
        <w:rPr>
          <w:rFonts w:eastAsia="方正仿宋简体"/>
          <w:sz w:val="32"/>
          <w:szCs w:val="32"/>
        </w:rPr>
        <w:t>实践基地有一定数量实践经验丰富的专业技术人员和专家；</w:t>
      </w:r>
    </w:p>
    <w:p w:rsidR="002D1D81" w:rsidRPr="00782A6F" w:rsidRDefault="00782A6F" w:rsidP="00782A6F">
      <w:pPr>
        <w:adjustRightInd w:val="0"/>
        <w:snapToGrid w:val="0"/>
        <w:spacing w:line="600" w:lineRule="exact"/>
        <w:ind w:firstLineChars="200" w:firstLine="640"/>
        <w:rPr>
          <w:rFonts w:ascii="仿宋" w:eastAsia="仿宋" w:hAnsi="仿宋"/>
          <w:sz w:val="32"/>
          <w:szCs w:val="32"/>
        </w:rPr>
      </w:pPr>
      <w:r w:rsidRPr="00204AC8">
        <w:rPr>
          <w:rFonts w:eastAsia="方正仿宋简体"/>
          <w:sz w:val="32"/>
          <w:szCs w:val="32"/>
        </w:rPr>
        <w:t>3.</w:t>
      </w:r>
      <w:r w:rsidRPr="00204AC8">
        <w:rPr>
          <w:rFonts w:eastAsia="方正仿宋简体" w:hint="eastAsia"/>
          <w:sz w:val="32"/>
          <w:szCs w:val="32"/>
        </w:rPr>
        <w:t xml:space="preserve"> </w:t>
      </w:r>
      <w:r w:rsidRPr="00204AC8">
        <w:rPr>
          <w:rFonts w:eastAsia="方正仿宋简体"/>
          <w:sz w:val="32"/>
          <w:szCs w:val="32"/>
        </w:rPr>
        <w:t>实践基地有全面开展专业实践教学、培养专业实践能力所需的场地和设施，并能够为专业学位研究生完成学位论文提供条件。</w:t>
      </w:r>
      <w:r w:rsidRPr="00204AC8">
        <w:rPr>
          <w:rFonts w:ascii="仿宋" w:eastAsia="仿宋" w:hAnsi="仿宋" w:hint="eastAsia"/>
          <w:sz w:val="32"/>
          <w:szCs w:val="32"/>
        </w:rPr>
        <w:t xml:space="preserve"> </w:t>
      </w:r>
      <w:bookmarkStart w:id="0" w:name="_GoBack"/>
      <w:bookmarkEnd w:id="0"/>
    </w:p>
    <w:sectPr w:rsidR="002D1D81" w:rsidRPr="00782A6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D9" w:rsidRDefault="00B022D9" w:rsidP="00782A6F">
      <w:r>
        <w:separator/>
      </w:r>
    </w:p>
  </w:endnote>
  <w:endnote w:type="continuationSeparator" w:id="0">
    <w:p w:rsidR="00B022D9" w:rsidRDefault="00B022D9" w:rsidP="0078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6F" w:rsidRDefault="00782A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6F" w:rsidRDefault="00782A6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6F" w:rsidRDefault="00782A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D9" w:rsidRDefault="00B022D9" w:rsidP="00782A6F">
      <w:r>
        <w:separator/>
      </w:r>
    </w:p>
  </w:footnote>
  <w:footnote w:type="continuationSeparator" w:id="0">
    <w:p w:rsidR="00B022D9" w:rsidRDefault="00B022D9" w:rsidP="00782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6F" w:rsidRDefault="00782A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6F" w:rsidRDefault="00782A6F" w:rsidP="00782A6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6F" w:rsidRDefault="00782A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E7"/>
    <w:rsid w:val="00007C71"/>
    <w:rsid w:val="00020AA8"/>
    <w:rsid w:val="0004633F"/>
    <w:rsid w:val="000521C3"/>
    <w:rsid w:val="000533D2"/>
    <w:rsid w:val="00080D61"/>
    <w:rsid w:val="00083A00"/>
    <w:rsid w:val="000877A8"/>
    <w:rsid w:val="000C5213"/>
    <w:rsid w:val="000C54FC"/>
    <w:rsid w:val="000D3B1F"/>
    <w:rsid w:val="000D7D9E"/>
    <w:rsid w:val="000E20FE"/>
    <w:rsid w:val="000E7802"/>
    <w:rsid w:val="000F46D1"/>
    <w:rsid w:val="0010199E"/>
    <w:rsid w:val="0011334F"/>
    <w:rsid w:val="001222F5"/>
    <w:rsid w:val="00137C15"/>
    <w:rsid w:val="00152E49"/>
    <w:rsid w:val="00161732"/>
    <w:rsid w:val="00167EA6"/>
    <w:rsid w:val="00172989"/>
    <w:rsid w:val="00175056"/>
    <w:rsid w:val="0018195C"/>
    <w:rsid w:val="00181B59"/>
    <w:rsid w:val="00184FB8"/>
    <w:rsid w:val="001A494E"/>
    <w:rsid w:val="001A5CEF"/>
    <w:rsid w:val="001B0900"/>
    <w:rsid w:val="001B3964"/>
    <w:rsid w:val="001B4057"/>
    <w:rsid w:val="001B6E4A"/>
    <w:rsid w:val="001D7E84"/>
    <w:rsid w:val="001E3552"/>
    <w:rsid w:val="001F0A81"/>
    <w:rsid w:val="002061AE"/>
    <w:rsid w:val="002120F6"/>
    <w:rsid w:val="002207C1"/>
    <w:rsid w:val="00250A1A"/>
    <w:rsid w:val="002567B8"/>
    <w:rsid w:val="00260FBE"/>
    <w:rsid w:val="00264EA6"/>
    <w:rsid w:val="002663DB"/>
    <w:rsid w:val="00272E1B"/>
    <w:rsid w:val="00297C09"/>
    <w:rsid w:val="002A46E1"/>
    <w:rsid w:val="002B499B"/>
    <w:rsid w:val="002D1D81"/>
    <w:rsid w:val="002D42C0"/>
    <w:rsid w:val="002F78FE"/>
    <w:rsid w:val="00302423"/>
    <w:rsid w:val="0030660E"/>
    <w:rsid w:val="0031175A"/>
    <w:rsid w:val="00340164"/>
    <w:rsid w:val="00351C0B"/>
    <w:rsid w:val="00361FC6"/>
    <w:rsid w:val="00364DE3"/>
    <w:rsid w:val="003663FD"/>
    <w:rsid w:val="00373412"/>
    <w:rsid w:val="003823CB"/>
    <w:rsid w:val="003A024C"/>
    <w:rsid w:val="003C0AE2"/>
    <w:rsid w:val="003C5C44"/>
    <w:rsid w:val="003D393A"/>
    <w:rsid w:val="003D70BD"/>
    <w:rsid w:val="003F7906"/>
    <w:rsid w:val="00411C32"/>
    <w:rsid w:val="00411C81"/>
    <w:rsid w:val="004122F5"/>
    <w:rsid w:val="00414BB4"/>
    <w:rsid w:val="00437AFD"/>
    <w:rsid w:val="0044510D"/>
    <w:rsid w:val="004679E5"/>
    <w:rsid w:val="0047014A"/>
    <w:rsid w:val="004742F2"/>
    <w:rsid w:val="004A104B"/>
    <w:rsid w:val="004A2C00"/>
    <w:rsid w:val="004A3FFE"/>
    <w:rsid w:val="004C1DA2"/>
    <w:rsid w:val="004F6EAA"/>
    <w:rsid w:val="00500879"/>
    <w:rsid w:val="00501BC7"/>
    <w:rsid w:val="0050474E"/>
    <w:rsid w:val="0050619D"/>
    <w:rsid w:val="00511827"/>
    <w:rsid w:val="00523BB4"/>
    <w:rsid w:val="00530355"/>
    <w:rsid w:val="00533955"/>
    <w:rsid w:val="005360B8"/>
    <w:rsid w:val="00536480"/>
    <w:rsid w:val="00562D23"/>
    <w:rsid w:val="005637BB"/>
    <w:rsid w:val="00567835"/>
    <w:rsid w:val="00572DDD"/>
    <w:rsid w:val="00582391"/>
    <w:rsid w:val="005833C0"/>
    <w:rsid w:val="00584F76"/>
    <w:rsid w:val="00586E99"/>
    <w:rsid w:val="00593584"/>
    <w:rsid w:val="0059459D"/>
    <w:rsid w:val="005973E4"/>
    <w:rsid w:val="00597D42"/>
    <w:rsid w:val="005A31B2"/>
    <w:rsid w:val="005A466C"/>
    <w:rsid w:val="005A7E9A"/>
    <w:rsid w:val="005B315B"/>
    <w:rsid w:val="005B51C6"/>
    <w:rsid w:val="005C2582"/>
    <w:rsid w:val="005C5E1A"/>
    <w:rsid w:val="005D500A"/>
    <w:rsid w:val="005E1A53"/>
    <w:rsid w:val="005F29E2"/>
    <w:rsid w:val="00601668"/>
    <w:rsid w:val="0060193D"/>
    <w:rsid w:val="00603646"/>
    <w:rsid w:val="00620914"/>
    <w:rsid w:val="0064010B"/>
    <w:rsid w:val="00641C79"/>
    <w:rsid w:val="00647D09"/>
    <w:rsid w:val="00650883"/>
    <w:rsid w:val="006560F5"/>
    <w:rsid w:val="00676BEF"/>
    <w:rsid w:val="00684448"/>
    <w:rsid w:val="006860C9"/>
    <w:rsid w:val="006A1A7E"/>
    <w:rsid w:val="006A3A18"/>
    <w:rsid w:val="006A4259"/>
    <w:rsid w:val="006B1298"/>
    <w:rsid w:val="006B1E04"/>
    <w:rsid w:val="006E6BC2"/>
    <w:rsid w:val="006F041F"/>
    <w:rsid w:val="006F3A61"/>
    <w:rsid w:val="006F52DA"/>
    <w:rsid w:val="007134A5"/>
    <w:rsid w:val="007177AC"/>
    <w:rsid w:val="0072295D"/>
    <w:rsid w:val="00723C05"/>
    <w:rsid w:val="0072686E"/>
    <w:rsid w:val="00747EE7"/>
    <w:rsid w:val="00755DDB"/>
    <w:rsid w:val="0075700D"/>
    <w:rsid w:val="00761DA4"/>
    <w:rsid w:val="00774C73"/>
    <w:rsid w:val="00782A6F"/>
    <w:rsid w:val="007854D8"/>
    <w:rsid w:val="007862A2"/>
    <w:rsid w:val="0078676C"/>
    <w:rsid w:val="00794195"/>
    <w:rsid w:val="007A23B2"/>
    <w:rsid w:val="007B445B"/>
    <w:rsid w:val="007C1471"/>
    <w:rsid w:val="007C7769"/>
    <w:rsid w:val="007D6083"/>
    <w:rsid w:val="007E1561"/>
    <w:rsid w:val="007E6A86"/>
    <w:rsid w:val="007E7532"/>
    <w:rsid w:val="007F6472"/>
    <w:rsid w:val="007F7298"/>
    <w:rsid w:val="0080768F"/>
    <w:rsid w:val="00811CDD"/>
    <w:rsid w:val="00815ABE"/>
    <w:rsid w:val="008213DE"/>
    <w:rsid w:val="00826631"/>
    <w:rsid w:val="00840745"/>
    <w:rsid w:val="008416FA"/>
    <w:rsid w:val="00842ED0"/>
    <w:rsid w:val="00845DCB"/>
    <w:rsid w:val="008476E4"/>
    <w:rsid w:val="00847F19"/>
    <w:rsid w:val="00851A6A"/>
    <w:rsid w:val="00853889"/>
    <w:rsid w:val="00853AC0"/>
    <w:rsid w:val="00855556"/>
    <w:rsid w:val="00865EEE"/>
    <w:rsid w:val="008806F0"/>
    <w:rsid w:val="00884460"/>
    <w:rsid w:val="008A0568"/>
    <w:rsid w:val="008A4ACA"/>
    <w:rsid w:val="008B2F6A"/>
    <w:rsid w:val="008B610C"/>
    <w:rsid w:val="008B7CC6"/>
    <w:rsid w:val="008D4127"/>
    <w:rsid w:val="008D7E8E"/>
    <w:rsid w:val="008E5232"/>
    <w:rsid w:val="008F1CB0"/>
    <w:rsid w:val="009105B6"/>
    <w:rsid w:val="00915C2A"/>
    <w:rsid w:val="00921279"/>
    <w:rsid w:val="009228E7"/>
    <w:rsid w:val="00923140"/>
    <w:rsid w:val="009308E9"/>
    <w:rsid w:val="00931169"/>
    <w:rsid w:val="009327CE"/>
    <w:rsid w:val="009345C8"/>
    <w:rsid w:val="009353DD"/>
    <w:rsid w:val="00955EEE"/>
    <w:rsid w:val="00975CFC"/>
    <w:rsid w:val="00992224"/>
    <w:rsid w:val="009A3C77"/>
    <w:rsid w:val="009B1664"/>
    <w:rsid w:val="009C41A4"/>
    <w:rsid w:val="009C469B"/>
    <w:rsid w:val="009D4E79"/>
    <w:rsid w:val="00A02840"/>
    <w:rsid w:val="00A02C45"/>
    <w:rsid w:val="00A07EC0"/>
    <w:rsid w:val="00A27F9A"/>
    <w:rsid w:val="00A3439E"/>
    <w:rsid w:val="00A57309"/>
    <w:rsid w:val="00A62C95"/>
    <w:rsid w:val="00A655A7"/>
    <w:rsid w:val="00A6752D"/>
    <w:rsid w:val="00A71753"/>
    <w:rsid w:val="00A8644F"/>
    <w:rsid w:val="00A878E6"/>
    <w:rsid w:val="00A94EFF"/>
    <w:rsid w:val="00A97870"/>
    <w:rsid w:val="00AA039F"/>
    <w:rsid w:val="00AA0E54"/>
    <w:rsid w:val="00AC1C2D"/>
    <w:rsid w:val="00AC4F38"/>
    <w:rsid w:val="00AD04D5"/>
    <w:rsid w:val="00AE58E3"/>
    <w:rsid w:val="00AE611C"/>
    <w:rsid w:val="00AF29E3"/>
    <w:rsid w:val="00B022D9"/>
    <w:rsid w:val="00B03C0C"/>
    <w:rsid w:val="00B04DFF"/>
    <w:rsid w:val="00B169E8"/>
    <w:rsid w:val="00B320D4"/>
    <w:rsid w:val="00B4711F"/>
    <w:rsid w:val="00B54C36"/>
    <w:rsid w:val="00B66EFC"/>
    <w:rsid w:val="00B673FA"/>
    <w:rsid w:val="00B76926"/>
    <w:rsid w:val="00B8111E"/>
    <w:rsid w:val="00B85289"/>
    <w:rsid w:val="00B85CED"/>
    <w:rsid w:val="00BA46CF"/>
    <w:rsid w:val="00BA744E"/>
    <w:rsid w:val="00BB3336"/>
    <w:rsid w:val="00BC51AA"/>
    <w:rsid w:val="00BD3A24"/>
    <w:rsid w:val="00BE0388"/>
    <w:rsid w:val="00BE2E7B"/>
    <w:rsid w:val="00BE520C"/>
    <w:rsid w:val="00BE71DF"/>
    <w:rsid w:val="00BF38EB"/>
    <w:rsid w:val="00BF4D64"/>
    <w:rsid w:val="00C00652"/>
    <w:rsid w:val="00C01F59"/>
    <w:rsid w:val="00C0606C"/>
    <w:rsid w:val="00C21321"/>
    <w:rsid w:val="00C2226B"/>
    <w:rsid w:val="00C23563"/>
    <w:rsid w:val="00C249A0"/>
    <w:rsid w:val="00C47A2F"/>
    <w:rsid w:val="00C57885"/>
    <w:rsid w:val="00C60CED"/>
    <w:rsid w:val="00C72BFA"/>
    <w:rsid w:val="00C82773"/>
    <w:rsid w:val="00C87CB1"/>
    <w:rsid w:val="00C92D57"/>
    <w:rsid w:val="00C93619"/>
    <w:rsid w:val="00C94715"/>
    <w:rsid w:val="00C96F49"/>
    <w:rsid w:val="00CA2639"/>
    <w:rsid w:val="00CA752B"/>
    <w:rsid w:val="00CA78B8"/>
    <w:rsid w:val="00CB35FE"/>
    <w:rsid w:val="00CB7A98"/>
    <w:rsid w:val="00CC1647"/>
    <w:rsid w:val="00CC3B52"/>
    <w:rsid w:val="00CC699F"/>
    <w:rsid w:val="00CD02B4"/>
    <w:rsid w:val="00CD3786"/>
    <w:rsid w:val="00CD4267"/>
    <w:rsid w:val="00CF06DD"/>
    <w:rsid w:val="00CF3ACB"/>
    <w:rsid w:val="00CF7375"/>
    <w:rsid w:val="00D0204C"/>
    <w:rsid w:val="00D02594"/>
    <w:rsid w:val="00D204A5"/>
    <w:rsid w:val="00D21A98"/>
    <w:rsid w:val="00D22E86"/>
    <w:rsid w:val="00D273DB"/>
    <w:rsid w:val="00D31F1E"/>
    <w:rsid w:val="00D5677D"/>
    <w:rsid w:val="00D74A0E"/>
    <w:rsid w:val="00D86EED"/>
    <w:rsid w:val="00D87C7E"/>
    <w:rsid w:val="00D9028A"/>
    <w:rsid w:val="00D9163D"/>
    <w:rsid w:val="00D95B94"/>
    <w:rsid w:val="00DA3D44"/>
    <w:rsid w:val="00DA6296"/>
    <w:rsid w:val="00DB1284"/>
    <w:rsid w:val="00DB30B8"/>
    <w:rsid w:val="00DC1F9D"/>
    <w:rsid w:val="00DD32FC"/>
    <w:rsid w:val="00DD48A1"/>
    <w:rsid w:val="00DD5E8A"/>
    <w:rsid w:val="00DE6027"/>
    <w:rsid w:val="00DF3B3C"/>
    <w:rsid w:val="00DF64F4"/>
    <w:rsid w:val="00E10051"/>
    <w:rsid w:val="00E12BEF"/>
    <w:rsid w:val="00E14655"/>
    <w:rsid w:val="00E2395E"/>
    <w:rsid w:val="00E436AA"/>
    <w:rsid w:val="00E44F90"/>
    <w:rsid w:val="00E5377A"/>
    <w:rsid w:val="00E6536C"/>
    <w:rsid w:val="00E916ED"/>
    <w:rsid w:val="00EA2799"/>
    <w:rsid w:val="00EA7EBB"/>
    <w:rsid w:val="00EB2252"/>
    <w:rsid w:val="00EC0DF1"/>
    <w:rsid w:val="00EC3A93"/>
    <w:rsid w:val="00EC3EBC"/>
    <w:rsid w:val="00ED37A8"/>
    <w:rsid w:val="00ED708F"/>
    <w:rsid w:val="00EE30F7"/>
    <w:rsid w:val="00EE4C95"/>
    <w:rsid w:val="00EE662B"/>
    <w:rsid w:val="00EF24ED"/>
    <w:rsid w:val="00EF2B4B"/>
    <w:rsid w:val="00EF4980"/>
    <w:rsid w:val="00F01B4D"/>
    <w:rsid w:val="00F07240"/>
    <w:rsid w:val="00F076A6"/>
    <w:rsid w:val="00F07C9A"/>
    <w:rsid w:val="00F147BB"/>
    <w:rsid w:val="00F21634"/>
    <w:rsid w:val="00F4431E"/>
    <w:rsid w:val="00F45C96"/>
    <w:rsid w:val="00F465FB"/>
    <w:rsid w:val="00F55D04"/>
    <w:rsid w:val="00F560ED"/>
    <w:rsid w:val="00F61B52"/>
    <w:rsid w:val="00F84E68"/>
    <w:rsid w:val="00F86B9C"/>
    <w:rsid w:val="00F93E0C"/>
    <w:rsid w:val="00F956DC"/>
    <w:rsid w:val="00FA436C"/>
    <w:rsid w:val="00FC5C3A"/>
    <w:rsid w:val="00FC7B8E"/>
    <w:rsid w:val="00FD39BE"/>
    <w:rsid w:val="00FE481D"/>
    <w:rsid w:val="00FF27CE"/>
    <w:rsid w:val="00FF3FCA"/>
    <w:rsid w:val="00FF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2A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2A6F"/>
    <w:rPr>
      <w:sz w:val="18"/>
      <w:szCs w:val="18"/>
    </w:rPr>
  </w:style>
  <w:style w:type="paragraph" w:styleId="a4">
    <w:name w:val="footer"/>
    <w:basedOn w:val="a"/>
    <w:link w:val="Char0"/>
    <w:uiPriority w:val="99"/>
    <w:unhideWhenUsed/>
    <w:rsid w:val="00782A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2A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2A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2A6F"/>
    <w:rPr>
      <w:sz w:val="18"/>
      <w:szCs w:val="18"/>
    </w:rPr>
  </w:style>
  <w:style w:type="paragraph" w:styleId="a4">
    <w:name w:val="footer"/>
    <w:basedOn w:val="a"/>
    <w:link w:val="Char0"/>
    <w:uiPriority w:val="99"/>
    <w:unhideWhenUsed/>
    <w:rsid w:val="00782A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2A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654</Characters>
  <Application>Microsoft Office Word</Application>
  <DocSecurity>0</DocSecurity>
  <Lines>5</Lines>
  <Paragraphs>1</Paragraphs>
  <ScaleCrop>false</ScaleCrop>
  <Company>微软中国</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2013-12-10T10:00:00Z</dcterms:created>
  <dcterms:modified xsi:type="dcterms:W3CDTF">2013-12-10T10:00:00Z</dcterms:modified>
</cp:coreProperties>
</file>