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2A35">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eastAsia" w:ascii="黑体" w:hAnsi="黑体" w:eastAsia="黑体" w:cs="黑体"/>
          <w:b/>
          <w:bCs/>
          <w:color w:val="000000"/>
          <w:sz w:val="36"/>
          <w:szCs w:val="36"/>
          <w:lang w:eastAsia="zh-CN"/>
        </w:rPr>
      </w:pPr>
      <w:bookmarkStart w:id="0" w:name="_GoBack"/>
      <w:bookmarkEnd w:id="0"/>
      <w:r>
        <w:rPr>
          <w:rFonts w:hint="eastAsia" w:ascii="黑体" w:hAnsi="黑体" w:eastAsia="黑体" w:cs="黑体"/>
          <w:b/>
          <w:bCs/>
          <w:sz w:val="32"/>
          <w:szCs w:val="32"/>
          <w:lang w:val="en-US" w:eastAsia="zh-CN"/>
        </w:rPr>
        <w:t>附件2</w:t>
      </w:r>
    </w:p>
    <w:p w14:paraId="2F189CB9">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华文中宋" w:hAnsi="华文中宋" w:eastAsia="华文中宋" w:cs="华文中宋"/>
          <w:b/>
          <w:bCs/>
          <w:color w:val="000000"/>
          <w:sz w:val="36"/>
          <w:szCs w:val="36"/>
          <w:lang w:eastAsia="zh-CN"/>
        </w:rPr>
      </w:pPr>
      <w:r>
        <w:rPr>
          <w:rFonts w:hint="eastAsia" w:ascii="华文中宋" w:hAnsi="华文中宋" w:eastAsia="华文中宋" w:cs="华文中宋"/>
          <w:b/>
          <w:bCs/>
          <w:color w:val="000000"/>
          <w:sz w:val="36"/>
          <w:szCs w:val="36"/>
          <w:lang w:eastAsia="zh-CN"/>
        </w:rPr>
        <w:t>专题培训课程信息列表</w:t>
      </w:r>
    </w:p>
    <w:tbl>
      <w:tblPr>
        <w:tblStyle w:val="3"/>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2"/>
        <w:gridCol w:w="901"/>
        <w:gridCol w:w="3116"/>
        <w:gridCol w:w="1323"/>
        <w:gridCol w:w="3025"/>
        <w:gridCol w:w="935"/>
      </w:tblGrid>
      <w:tr w14:paraId="0BF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shd w:val="clear" w:color="auto" w:fill="D7D7D7" w:themeFill="background1" w:themeFillShade="D8"/>
            <w:vAlign w:val="center"/>
          </w:tcPr>
          <w:p w14:paraId="529E02D5">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t>课程</w:t>
            </w:r>
          </w:p>
          <w:p w14:paraId="53A582F5">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t xml:space="preserve">模块  </w:t>
            </w:r>
          </w:p>
        </w:tc>
        <w:tc>
          <w:tcPr>
            <w:tcW w:w="4017" w:type="dxa"/>
            <w:gridSpan w:val="2"/>
            <w:shd w:val="clear" w:color="auto" w:fill="D7D7D7" w:themeFill="background1" w:themeFillShade="D8"/>
            <w:vAlign w:val="center"/>
          </w:tcPr>
          <w:p w14:paraId="523AFC86">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t>课程名称</w:t>
            </w:r>
          </w:p>
        </w:tc>
        <w:tc>
          <w:tcPr>
            <w:tcW w:w="1323" w:type="dxa"/>
            <w:shd w:val="clear" w:color="auto" w:fill="D7D7D7" w:themeFill="background1" w:themeFillShade="D8"/>
            <w:noWrap/>
            <w:vAlign w:val="center"/>
          </w:tcPr>
          <w:p w14:paraId="69C700D9">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t>主讲人</w:t>
            </w:r>
          </w:p>
        </w:tc>
        <w:tc>
          <w:tcPr>
            <w:tcW w:w="3025" w:type="dxa"/>
            <w:shd w:val="clear" w:color="auto" w:fill="D7D7D7" w:themeFill="background1" w:themeFillShade="D8"/>
            <w:vAlign w:val="center"/>
          </w:tcPr>
          <w:p w14:paraId="3C0C1591">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t>单位及职务</w:t>
            </w:r>
          </w:p>
        </w:tc>
        <w:tc>
          <w:tcPr>
            <w:tcW w:w="935" w:type="dxa"/>
            <w:shd w:val="clear" w:color="auto" w:fill="D7D7D7" w:themeFill="background1" w:themeFillShade="D8"/>
            <w:vAlign w:val="center"/>
          </w:tcPr>
          <w:p w14:paraId="7F1E955B">
            <w:pPr>
              <w:keepNext w:val="0"/>
              <w:keepLines w:val="0"/>
              <w:widowControl/>
              <w:suppressLineNumbers w:val="0"/>
              <w:jc w:val="center"/>
              <w:textAlignment w:val="center"/>
              <w:rPr>
                <w:rFonts w:hint="default"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2"/>
                <w:u w:val="none"/>
                <w:lang w:val="en-US" w:eastAsia="zh-CN" w:bidi="ar"/>
                <w14:textFill>
                  <w14:solidFill>
                    <w14:schemeClr w14:val="tx1"/>
                  </w14:solidFill>
                </w14:textFill>
              </w:rPr>
              <w:t>课程性质</w:t>
            </w:r>
          </w:p>
        </w:tc>
      </w:tr>
      <w:tr w14:paraId="009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restart"/>
            <w:shd w:val="clear" w:color="auto" w:fill="auto"/>
            <w:vAlign w:val="center"/>
          </w:tcPr>
          <w:p w14:paraId="78E0B6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u w:val="none"/>
                <w:lang w:val="en-US" w:eastAsia="zh-CN" w:bidi="ar"/>
              </w:rPr>
              <w:t>习近平新时代中国特色社会主义思想</w:t>
            </w:r>
          </w:p>
        </w:tc>
        <w:tc>
          <w:tcPr>
            <w:tcW w:w="4017" w:type="dxa"/>
            <w:gridSpan w:val="2"/>
            <w:shd w:val="clear" w:color="auto" w:fill="auto"/>
            <w:vAlign w:val="center"/>
          </w:tcPr>
          <w:p w14:paraId="5BF5E5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习近平新时代中国特色社会主义思想的主要内容和科学体系</w:t>
            </w:r>
          </w:p>
        </w:tc>
        <w:tc>
          <w:tcPr>
            <w:tcW w:w="1323" w:type="dxa"/>
            <w:shd w:val="clear" w:color="auto" w:fill="auto"/>
            <w:vAlign w:val="center"/>
          </w:tcPr>
          <w:p w14:paraId="73A2C6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王  文</w:t>
            </w:r>
          </w:p>
        </w:tc>
        <w:tc>
          <w:tcPr>
            <w:tcW w:w="3025" w:type="dxa"/>
            <w:shd w:val="clear" w:color="auto" w:fill="auto"/>
            <w:vAlign w:val="center"/>
          </w:tcPr>
          <w:p w14:paraId="0D089C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中共中央党校（国家行政学院）研究室一级巡视员</w:t>
            </w:r>
          </w:p>
        </w:tc>
        <w:tc>
          <w:tcPr>
            <w:tcW w:w="935" w:type="dxa"/>
            <w:shd w:val="clear" w:color="auto" w:fill="auto"/>
            <w:vAlign w:val="center"/>
          </w:tcPr>
          <w:p w14:paraId="611494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必修</w:t>
            </w:r>
          </w:p>
        </w:tc>
      </w:tr>
      <w:tr w14:paraId="2FF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254995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002DDD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习近平新时代中国特色社会主义思想溯源</w:t>
            </w:r>
          </w:p>
        </w:tc>
        <w:tc>
          <w:tcPr>
            <w:tcW w:w="1323" w:type="dxa"/>
            <w:shd w:val="clear" w:color="auto" w:fill="auto"/>
            <w:vAlign w:val="center"/>
          </w:tcPr>
          <w:p w14:paraId="161BEE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程冠军</w:t>
            </w:r>
          </w:p>
        </w:tc>
        <w:tc>
          <w:tcPr>
            <w:tcW w:w="3025" w:type="dxa"/>
            <w:shd w:val="clear" w:color="auto" w:fill="auto"/>
            <w:vAlign w:val="center"/>
          </w:tcPr>
          <w:p w14:paraId="242E95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中国领导科学研究会副秘书长</w:t>
            </w:r>
          </w:p>
        </w:tc>
        <w:tc>
          <w:tcPr>
            <w:tcW w:w="935" w:type="dxa"/>
            <w:shd w:val="clear" w:color="auto" w:fill="auto"/>
            <w:vAlign w:val="center"/>
          </w:tcPr>
          <w:p w14:paraId="0F3D74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4976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5D6142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615682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自觉改造主观世界始终保持政治本色——深刻学习把握习近平新时代中国特色社会主义思想的要求</w:t>
            </w:r>
          </w:p>
        </w:tc>
        <w:tc>
          <w:tcPr>
            <w:tcW w:w="1323" w:type="dxa"/>
            <w:shd w:val="clear" w:color="auto" w:fill="auto"/>
            <w:vAlign w:val="center"/>
          </w:tcPr>
          <w:p w14:paraId="79E709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唐爱军</w:t>
            </w:r>
          </w:p>
        </w:tc>
        <w:tc>
          <w:tcPr>
            <w:tcW w:w="3025" w:type="dxa"/>
            <w:shd w:val="clear" w:color="auto" w:fill="auto"/>
            <w:vAlign w:val="center"/>
          </w:tcPr>
          <w:p w14:paraId="7D7EBE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中共中央党校（国家行政学院）马克思主义学院副教授</w:t>
            </w:r>
          </w:p>
        </w:tc>
        <w:tc>
          <w:tcPr>
            <w:tcW w:w="935" w:type="dxa"/>
            <w:shd w:val="clear" w:color="auto" w:fill="auto"/>
            <w:vAlign w:val="center"/>
          </w:tcPr>
          <w:p w14:paraId="5B5F98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05E1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3224DF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00F7E3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从习近平新时代中国特色社会主义思想中汲取智慧熟练掌握其中蕴含的思想方法、工作方法</w:t>
            </w:r>
          </w:p>
        </w:tc>
        <w:tc>
          <w:tcPr>
            <w:tcW w:w="1323" w:type="dxa"/>
            <w:shd w:val="clear" w:color="auto" w:fill="auto"/>
            <w:vAlign w:val="center"/>
          </w:tcPr>
          <w:p w14:paraId="0C1D13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焦佩锋</w:t>
            </w:r>
          </w:p>
        </w:tc>
        <w:tc>
          <w:tcPr>
            <w:tcW w:w="3025" w:type="dxa"/>
            <w:shd w:val="clear" w:color="auto" w:fill="auto"/>
            <w:vAlign w:val="center"/>
          </w:tcPr>
          <w:p w14:paraId="484CF5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中共中央党校 (国家行政学院）哲学教研部马哲教研室副主任、教授</w:t>
            </w:r>
          </w:p>
        </w:tc>
        <w:tc>
          <w:tcPr>
            <w:tcW w:w="935" w:type="dxa"/>
            <w:shd w:val="clear" w:color="auto" w:fill="auto"/>
            <w:vAlign w:val="center"/>
          </w:tcPr>
          <w:p w14:paraId="251AFC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4861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restart"/>
            <w:shd w:val="clear" w:color="auto" w:fill="auto"/>
            <w:vAlign w:val="center"/>
          </w:tcPr>
          <w:p w14:paraId="02FB4FD7">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学习贯彻全国教育大会精神</w:t>
            </w:r>
          </w:p>
        </w:tc>
        <w:tc>
          <w:tcPr>
            <w:tcW w:w="4017" w:type="dxa"/>
            <w:gridSpan w:val="2"/>
            <w:shd w:val="clear" w:color="auto" w:fill="auto"/>
            <w:vAlign w:val="center"/>
          </w:tcPr>
          <w:p w14:paraId="433E5297">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学习贯彻全国教育大会精神</w:t>
            </w:r>
          </w:p>
        </w:tc>
        <w:tc>
          <w:tcPr>
            <w:tcW w:w="1323" w:type="dxa"/>
            <w:shd w:val="clear" w:color="auto" w:fill="auto"/>
            <w:vAlign w:val="center"/>
          </w:tcPr>
          <w:p w14:paraId="59DD2F5C">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  力</w:t>
            </w:r>
          </w:p>
        </w:tc>
        <w:tc>
          <w:tcPr>
            <w:tcW w:w="3025" w:type="dxa"/>
            <w:shd w:val="clear" w:color="auto" w:fill="auto"/>
            <w:vAlign w:val="center"/>
          </w:tcPr>
          <w:p w14:paraId="3F411027">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国家教育咨询委员会秘书长</w:t>
            </w:r>
          </w:p>
        </w:tc>
        <w:tc>
          <w:tcPr>
            <w:tcW w:w="935" w:type="dxa"/>
            <w:shd w:val="clear" w:color="auto" w:fill="auto"/>
            <w:vAlign w:val="center"/>
          </w:tcPr>
          <w:p w14:paraId="54952848">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7DAE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64FA871B">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6010691E">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深刻把握教育强国的内涵</w:t>
            </w:r>
          </w:p>
        </w:tc>
        <w:tc>
          <w:tcPr>
            <w:tcW w:w="1323" w:type="dxa"/>
            <w:shd w:val="clear" w:color="auto" w:fill="auto"/>
            <w:noWrap/>
            <w:vAlign w:val="center"/>
          </w:tcPr>
          <w:p w14:paraId="3EE50A4B">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张应强</w:t>
            </w:r>
          </w:p>
        </w:tc>
        <w:tc>
          <w:tcPr>
            <w:tcW w:w="3025" w:type="dxa"/>
            <w:shd w:val="clear" w:color="auto" w:fill="auto"/>
            <w:vAlign w:val="center"/>
          </w:tcPr>
          <w:p w14:paraId="128F7097">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浙江大学教育学院教授、中国高等教育学会高等教育学专业委员会名誉理事长</w:t>
            </w:r>
          </w:p>
        </w:tc>
        <w:tc>
          <w:tcPr>
            <w:tcW w:w="935" w:type="dxa"/>
            <w:shd w:val="clear" w:color="auto" w:fill="auto"/>
            <w:vAlign w:val="center"/>
          </w:tcPr>
          <w:p w14:paraId="33A24B31">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4197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557D4E38">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0D2A424E">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2"/>
                <w:sz w:val="24"/>
                <w:szCs w:val="22"/>
                <w:u w:val="none"/>
                <w:lang w:val="en-US" w:eastAsia="zh-CN" w:bidi="ar-SA"/>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推动教育科技人才一体发展</w:t>
            </w:r>
          </w:p>
        </w:tc>
        <w:tc>
          <w:tcPr>
            <w:tcW w:w="1323" w:type="dxa"/>
            <w:shd w:val="clear" w:color="auto" w:fill="auto"/>
            <w:noWrap/>
            <w:vAlign w:val="center"/>
          </w:tcPr>
          <w:p w14:paraId="4CB48674">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2"/>
                <w:sz w:val="24"/>
                <w:szCs w:val="22"/>
                <w:u w:val="none"/>
                <w:lang w:val="en-US" w:eastAsia="zh-CN" w:bidi="ar-SA"/>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孔令讲</w:t>
            </w:r>
          </w:p>
        </w:tc>
        <w:tc>
          <w:tcPr>
            <w:tcW w:w="3025" w:type="dxa"/>
            <w:shd w:val="clear" w:color="auto" w:fill="auto"/>
            <w:vAlign w:val="center"/>
          </w:tcPr>
          <w:p w14:paraId="62B116FF">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2"/>
                <w:sz w:val="24"/>
                <w:szCs w:val="22"/>
                <w:u w:val="none"/>
                <w:lang w:val="en-US" w:eastAsia="zh-CN" w:bidi="ar-SA"/>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电子科技大学党委常委、副校长</w:t>
            </w:r>
          </w:p>
        </w:tc>
        <w:tc>
          <w:tcPr>
            <w:tcW w:w="935" w:type="dxa"/>
            <w:shd w:val="clear" w:color="auto" w:fill="auto"/>
            <w:vAlign w:val="center"/>
          </w:tcPr>
          <w:p w14:paraId="1C8D62C1">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必修</w:t>
            </w:r>
          </w:p>
        </w:tc>
      </w:tr>
      <w:tr w14:paraId="060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536D12DC">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4746FD9A">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上海交通大学基础学科拔尖创新人才培养的探索与实践</w:t>
            </w:r>
          </w:p>
        </w:tc>
        <w:tc>
          <w:tcPr>
            <w:tcW w:w="1323" w:type="dxa"/>
            <w:shd w:val="clear" w:color="auto" w:fill="auto"/>
            <w:vAlign w:val="center"/>
          </w:tcPr>
          <w:p w14:paraId="6EAC86FC">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周永丰</w:t>
            </w:r>
          </w:p>
        </w:tc>
        <w:tc>
          <w:tcPr>
            <w:tcW w:w="3025" w:type="dxa"/>
            <w:shd w:val="clear" w:color="auto" w:fill="auto"/>
            <w:vAlign w:val="center"/>
          </w:tcPr>
          <w:p w14:paraId="13C8D862">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上海交通大学化学化工学院教授</w:t>
            </w:r>
          </w:p>
        </w:tc>
        <w:tc>
          <w:tcPr>
            <w:tcW w:w="935" w:type="dxa"/>
            <w:shd w:val="clear" w:color="auto" w:fill="auto"/>
            <w:vAlign w:val="center"/>
          </w:tcPr>
          <w:p w14:paraId="2ECA777E">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4DB5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4CD536E2">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127C9B12">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同济大学交叉学科拔尖创新人才培养思考与实践</w:t>
            </w:r>
          </w:p>
        </w:tc>
        <w:tc>
          <w:tcPr>
            <w:tcW w:w="1323" w:type="dxa"/>
            <w:shd w:val="clear" w:color="auto" w:fill="auto"/>
            <w:vAlign w:val="center"/>
          </w:tcPr>
          <w:p w14:paraId="2D717F8D">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曹  静</w:t>
            </w:r>
          </w:p>
        </w:tc>
        <w:tc>
          <w:tcPr>
            <w:tcW w:w="3025" w:type="dxa"/>
            <w:shd w:val="clear" w:color="auto" w:fill="auto"/>
            <w:vAlign w:val="center"/>
          </w:tcPr>
          <w:p w14:paraId="0BCB2243">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同济大学汽车学院党委书记</w:t>
            </w:r>
          </w:p>
        </w:tc>
        <w:tc>
          <w:tcPr>
            <w:tcW w:w="935" w:type="dxa"/>
            <w:shd w:val="clear" w:color="auto" w:fill="auto"/>
            <w:vAlign w:val="center"/>
          </w:tcPr>
          <w:p w14:paraId="540C5AE8">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4520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restart"/>
            <w:shd w:val="clear" w:color="auto" w:fill="auto"/>
            <w:vAlign w:val="center"/>
          </w:tcPr>
          <w:p w14:paraId="6CF4EDDC">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研究生教育政策</w:t>
            </w:r>
          </w:p>
        </w:tc>
        <w:tc>
          <w:tcPr>
            <w:tcW w:w="4017" w:type="dxa"/>
            <w:gridSpan w:val="2"/>
            <w:shd w:val="clear" w:color="auto" w:fill="auto"/>
            <w:vAlign w:val="center"/>
          </w:tcPr>
          <w:p w14:paraId="38F36A89">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新时期研究生教育改革发展与导师立德树人要求</w:t>
            </w:r>
          </w:p>
        </w:tc>
        <w:tc>
          <w:tcPr>
            <w:tcW w:w="1323" w:type="dxa"/>
            <w:shd w:val="clear" w:color="auto" w:fill="auto"/>
            <w:noWrap/>
            <w:vAlign w:val="center"/>
          </w:tcPr>
          <w:p w14:paraId="2CFCF7E0">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贾金忠</w:t>
            </w:r>
          </w:p>
        </w:tc>
        <w:tc>
          <w:tcPr>
            <w:tcW w:w="3025" w:type="dxa"/>
            <w:shd w:val="clear" w:color="auto" w:fill="auto"/>
            <w:vAlign w:val="center"/>
          </w:tcPr>
          <w:p w14:paraId="251E6A4D">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全国医学专业学位研究生教育指导委员会秘书处办公室主任</w:t>
            </w:r>
          </w:p>
        </w:tc>
        <w:tc>
          <w:tcPr>
            <w:tcW w:w="935" w:type="dxa"/>
            <w:shd w:val="clear" w:color="auto" w:fill="auto"/>
            <w:vAlign w:val="center"/>
          </w:tcPr>
          <w:p w14:paraId="1A6DA305">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1C79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7BB21856">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567E2F42">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《研究生导师指导行为准则》解读与落实要点</w:t>
            </w:r>
          </w:p>
        </w:tc>
        <w:tc>
          <w:tcPr>
            <w:tcW w:w="1323" w:type="dxa"/>
            <w:shd w:val="clear" w:color="auto" w:fill="auto"/>
            <w:noWrap/>
            <w:vAlign w:val="center"/>
          </w:tcPr>
          <w:p w14:paraId="4BA2C833">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李丹青</w:t>
            </w:r>
          </w:p>
        </w:tc>
        <w:tc>
          <w:tcPr>
            <w:tcW w:w="3025" w:type="dxa"/>
            <w:shd w:val="clear" w:color="auto" w:fill="auto"/>
            <w:vAlign w:val="center"/>
          </w:tcPr>
          <w:p w14:paraId="44737CD1">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浙江大学工程师学院教授</w:t>
            </w:r>
          </w:p>
        </w:tc>
        <w:tc>
          <w:tcPr>
            <w:tcW w:w="935" w:type="dxa"/>
            <w:shd w:val="clear" w:color="auto" w:fill="auto"/>
            <w:vAlign w:val="center"/>
          </w:tcPr>
          <w:p w14:paraId="27C1A965">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必修</w:t>
            </w:r>
          </w:p>
        </w:tc>
      </w:tr>
      <w:tr w14:paraId="173A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25B0DB38">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53C71983">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《中华人民共和国学位法》修订解读——因何而变、重点内容和变化要点、如何有效落实</w:t>
            </w:r>
          </w:p>
        </w:tc>
        <w:tc>
          <w:tcPr>
            <w:tcW w:w="1323" w:type="dxa"/>
            <w:shd w:val="clear" w:color="auto" w:fill="auto"/>
            <w:noWrap/>
            <w:vAlign w:val="center"/>
          </w:tcPr>
          <w:p w14:paraId="2D89AAF9">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杨  挺</w:t>
            </w:r>
          </w:p>
        </w:tc>
        <w:tc>
          <w:tcPr>
            <w:tcW w:w="3025" w:type="dxa"/>
            <w:shd w:val="clear" w:color="auto" w:fill="auto"/>
            <w:vAlign w:val="center"/>
          </w:tcPr>
          <w:p w14:paraId="6A54D684">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西南大学教师教育学院副院长</w:t>
            </w:r>
          </w:p>
        </w:tc>
        <w:tc>
          <w:tcPr>
            <w:tcW w:w="935" w:type="dxa"/>
            <w:shd w:val="clear" w:color="auto" w:fill="auto"/>
            <w:vAlign w:val="center"/>
          </w:tcPr>
          <w:p w14:paraId="1691A878">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必修</w:t>
            </w:r>
          </w:p>
        </w:tc>
      </w:tr>
      <w:tr w14:paraId="4C8B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68193018">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0F394181">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ChatGPT冲击下的研究生核心竞争力培养</w:t>
            </w:r>
          </w:p>
        </w:tc>
        <w:tc>
          <w:tcPr>
            <w:tcW w:w="1323" w:type="dxa"/>
            <w:shd w:val="clear" w:color="auto" w:fill="auto"/>
            <w:noWrap/>
            <w:vAlign w:val="center"/>
          </w:tcPr>
          <w:p w14:paraId="3A19B7A9">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毛浩然</w:t>
            </w:r>
          </w:p>
        </w:tc>
        <w:tc>
          <w:tcPr>
            <w:tcW w:w="3025" w:type="dxa"/>
            <w:shd w:val="clear" w:color="auto" w:fill="auto"/>
            <w:vAlign w:val="center"/>
          </w:tcPr>
          <w:p w14:paraId="3463E221">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中国石油大学（华东）外国语学院院长</w:t>
            </w:r>
          </w:p>
        </w:tc>
        <w:tc>
          <w:tcPr>
            <w:tcW w:w="935" w:type="dxa"/>
            <w:shd w:val="clear" w:color="auto" w:fill="auto"/>
            <w:vAlign w:val="center"/>
          </w:tcPr>
          <w:p w14:paraId="37E21E55">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2B75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restart"/>
            <w:shd w:val="clear" w:color="auto" w:fill="auto"/>
            <w:vAlign w:val="center"/>
          </w:tcPr>
          <w:p w14:paraId="7A1729B3">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导师师德建设</w:t>
            </w:r>
          </w:p>
        </w:tc>
        <w:tc>
          <w:tcPr>
            <w:tcW w:w="4017" w:type="dxa"/>
            <w:gridSpan w:val="2"/>
            <w:shd w:val="clear" w:color="auto" w:fill="auto"/>
            <w:vAlign w:val="center"/>
          </w:tcPr>
          <w:p w14:paraId="6AA7510E">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学高为师 德高为范——研究生导师的责任与义务</w:t>
            </w:r>
          </w:p>
        </w:tc>
        <w:tc>
          <w:tcPr>
            <w:tcW w:w="1323" w:type="dxa"/>
            <w:shd w:val="clear" w:color="auto" w:fill="auto"/>
            <w:noWrap/>
            <w:vAlign w:val="center"/>
          </w:tcPr>
          <w:p w14:paraId="223DCF66">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赖绍聪</w:t>
            </w:r>
          </w:p>
        </w:tc>
        <w:tc>
          <w:tcPr>
            <w:tcW w:w="3025" w:type="dxa"/>
            <w:shd w:val="clear" w:color="auto" w:fill="auto"/>
            <w:vAlign w:val="center"/>
          </w:tcPr>
          <w:p w14:paraId="62D8485E">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西北大学党委常委、副校长</w:t>
            </w:r>
          </w:p>
        </w:tc>
        <w:tc>
          <w:tcPr>
            <w:tcW w:w="935" w:type="dxa"/>
            <w:shd w:val="clear" w:color="auto" w:fill="auto"/>
            <w:vAlign w:val="center"/>
          </w:tcPr>
          <w:p w14:paraId="684F3012">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必修</w:t>
            </w:r>
          </w:p>
        </w:tc>
      </w:tr>
      <w:tr w14:paraId="2690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42" w:type="dxa"/>
            <w:vMerge w:val="continue"/>
            <w:shd w:val="clear" w:color="auto" w:fill="auto"/>
            <w:vAlign w:val="center"/>
          </w:tcPr>
          <w:p w14:paraId="1BC9BF7F">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13C7C57C">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如何做一名高标准、服务型的好导师</w:t>
            </w:r>
          </w:p>
        </w:tc>
        <w:tc>
          <w:tcPr>
            <w:tcW w:w="1323" w:type="dxa"/>
            <w:shd w:val="clear" w:color="auto" w:fill="auto"/>
            <w:noWrap/>
            <w:vAlign w:val="center"/>
          </w:tcPr>
          <w:p w14:paraId="0B0B20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sz w:val="24"/>
                <w:szCs w:val="24"/>
                <w:u w:val="none"/>
                <w14:textFill>
                  <w14:solidFill>
                    <w14:schemeClr w14:val="tx1"/>
                  </w14:solidFill>
                </w14:textFill>
              </w:rPr>
            </w:pPr>
            <w:r>
              <w:rPr>
                <w:rFonts w:hint="eastAsia" w:ascii="方正仿宋_GB2312" w:hAnsi="方正仿宋_GB2312" w:eastAsia="方正仿宋_GB2312" w:cs="方正仿宋_GB2312"/>
                <w:i w:val="0"/>
                <w:iCs w:val="0"/>
                <w:color w:val="000000"/>
                <w:kern w:val="0"/>
                <w:sz w:val="24"/>
                <w:szCs w:val="24"/>
                <w:u w:val="none"/>
                <w:lang w:val="en-US" w:eastAsia="zh-CN" w:bidi="ar"/>
              </w:rPr>
              <w:t>刘思峰</w:t>
            </w:r>
          </w:p>
        </w:tc>
        <w:tc>
          <w:tcPr>
            <w:tcW w:w="3025" w:type="dxa"/>
            <w:shd w:val="clear" w:color="auto" w:fill="auto"/>
            <w:vAlign w:val="center"/>
          </w:tcPr>
          <w:p w14:paraId="2BBF19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themeColor="text1"/>
                <w:sz w:val="24"/>
                <w:szCs w:val="24"/>
                <w:u w:val="none"/>
                <w14:textFill>
                  <w14:solidFill>
                    <w14:schemeClr w14:val="tx1"/>
                  </w14:solidFill>
                </w14:textFill>
              </w:rPr>
            </w:pPr>
            <w:r>
              <w:rPr>
                <w:rFonts w:hint="eastAsia" w:ascii="方正仿宋_GB2312" w:hAnsi="方正仿宋_GB2312" w:eastAsia="方正仿宋_GB2312" w:cs="方正仿宋_GB2312"/>
                <w:i w:val="0"/>
                <w:iCs w:val="0"/>
                <w:color w:val="000000"/>
                <w:kern w:val="0"/>
                <w:sz w:val="24"/>
                <w:szCs w:val="24"/>
                <w:u w:val="none"/>
                <w:lang w:val="en-US" w:eastAsia="zh-CN" w:bidi="ar"/>
              </w:rPr>
              <w:t>西北工业大学特聘教授、博士生导师</w:t>
            </w:r>
          </w:p>
        </w:tc>
        <w:tc>
          <w:tcPr>
            <w:tcW w:w="935" w:type="dxa"/>
            <w:shd w:val="clear" w:color="auto" w:fill="auto"/>
            <w:vAlign w:val="center"/>
          </w:tcPr>
          <w:p w14:paraId="4026E8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3A20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4F768BBB">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0FA82B0B">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把握培养规律，明确使命职责——研究生导师应具备的基本素养</w:t>
            </w:r>
          </w:p>
        </w:tc>
        <w:tc>
          <w:tcPr>
            <w:tcW w:w="1323" w:type="dxa"/>
            <w:shd w:val="clear" w:color="auto" w:fill="auto"/>
            <w:vAlign w:val="center"/>
          </w:tcPr>
          <w:p w14:paraId="301139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张伟刚</w:t>
            </w:r>
          </w:p>
        </w:tc>
        <w:tc>
          <w:tcPr>
            <w:tcW w:w="3025" w:type="dxa"/>
            <w:shd w:val="clear" w:color="auto" w:fill="auto"/>
            <w:vAlign w:val="center"/>
          </w:tcPr>
          <w:p w14:paraId="6C5A87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themeColor="text1"/>
                <w:sz w:val="24"/>
                <w:szCs w:val="24"/>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南开大学电子信息与光学工程学院现代光学研究所教授</w:t>
            </w:r>
          </w:p>
        </w:tc>
        <w:tc>
          <w:tcPr>
            <w:tcW w:w="935" w:type="dxa"/>
            <w:shd w:val="clear" w:color="auto" w:fill="auto"/>
            <w:vAlign w:val="center"/>
          </w:tcPr>
          <w:p w14:paraId="52CA5D70">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7AE0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jc w:val="center"/>
        </w:trPr>
        <w:tc>
          <w:tcPr>
            <w:tcW w:w="1042" w:type="dxa"/>
            <w:vMerge w:val="continue"/>
            <w:shd w:val="clear" w:color="auto" w:fill="auto"/>
            <w:vAlign w:val="center"/>
          </w:tcPr>
          <w:p w14:paraId="7C5ED6D3">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027B5D80">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教师-教育-教学：做研究生成长的引路人</w:t>
            </w:r>
          </w:p>
        </w:tc>
        <w:tc>
          <w:tcPr>
            <w:tcW w:w="1323" w:type="dxa"/>
            <w:shd w:val="clear" w:color="auto" w:fill="auto"/>
            <w:vAlign w:val="center"/>
          </w:tcPr>
          <w:p w14:paraId="110C25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高  夯</w:t>
            </w:r>
          </w:p>
        </w:tc>
        <w:tc>
          <w:tcPr>
            <w:tcW w:w="3025" w:type="dxa"/>
            <w:shd w:val="clear" w:color="auto" w:fill="auto"/>
            <w:vAlign w:val="center"/>
          </w:tcPr>
          <w:p w14:paraId="0642C9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themeColor="text1"/>
                <w:sz w:val="24"/>
                <w:szCs w:val="24"/>
                <w:u w:val="none"/>
                <w14:textFill>
                  <w14:solidFill>
                    <w14:schemeClr w14:val="tx1"/>
                  </w14:solidFill>
                </w14:textFill>
              </w:rPr>
            </w:pPr>
            <w:r>
              <w:rPr>
                <w:rFonts w:hint="eastAsia" w:ascii="方正仿宋_GB2312" w:hAnsi="方正仿宋_GB2312" w:eastAsia="方正仿宋_GB2312" w:cs="方正仿宋_GB2312"/>
                <w:i w:val="0"/>
                <w:iCs w:val="0"/>
                <w:color w:val="000000"/>
                <w:kern w:val="0"/>
                <w:sz w:val="24"/>
                <w:szCs w:val="24"/>
                <w:u w:val="none"/>
                <w:lang w:val="en-US" w:eastAsia="zh-CN" w:bidi="ar"/>
              </w:rPr>
              <w:t>东北师范大学教授、博士生导师</w:t>
            </w:r>
          </w:p>
        </w:tc>
        <w:tc>
          <w:tcPr>
            <w:tcW w:w="935" w:type="dxa"/>
            <w:shd w:val="clear" w:color="auto" w:fill="auto"/>
            <w:vAlign w:val="center"/>
          </w:tcPr>
          <w:p w14:paraId="4FBCB0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4F75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restart"/>
            <w:shd w:val="clear" w:color="auto" w:fill="auto"/>
            <w:vAlign w:val="center"/>
          </w:tcPr>
          <w:p w14:paraId="447D80FC">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导师学术规范</w:t>
            </w:r>
          </w:p>
        </w:tc>
        <w:tc>
          <w:tcPr>
            <w:tcW w:w="4017" w:type="dxa"/>
            <w:gridSpan w:val="2"/>
            <w:shd w:val="clear" w:color="auto" w:fill="auto"/>
            <w:vAlign w:val="center"/>
          </w:tcPr>
          <w:p w14:paraId="34BF0ABB">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高校学术治理的基石：学术诚信内涵与规范把握</w:t>
            </w:r>
          </w:p>
        </w:tc>
        <w:tc>
          <w:tcPr>
            <w:tcW w:w="1323" w:type="dxa"/>
            <w:shd w:val="clear" w:color="auto" w:fill="auto"/>
            <w:noWrap/>
            <w:vAlign w:val="center"/>
          </w:tcPr>
          <w:p w14:paraId="0014DF36">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周华丽</w:t>
            </w:r>
          </w:p>
        </w:tc>
        <w:tc>
          <w:tcPr>
            <w:tcW w:w="3025" w:type="dxa"/>
            <w:shd w:val="clear" w:color="auto" w:fill="auto"/>
            <w:vAlign w:val="center"/>
          </w:tcPr>
          <w:p w14:paraId="1ED86ECC">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北京联合大学师范学院副院长</w:t>
            </w:r>
          </w:p>
        </w:tc>
        <w:tc>
          <w:tcPr>
            <w:tcW w:w="935" w:type="dxa"/>
            <w:shd w:val="clear" w:color="auto" w:fill="auto"/>
            <w:vAlign w:val="center"/>
          </w:tcPr>
          <w:p w14:paraId="37BC275D">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必修</w:t>
            </w:r>
          </w:p>
        </w:tc>
      </w:tr>
      <w:tr w14:paraId="0D7C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6555BF60">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6C21A34B">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诚信规范与科研失信行为惩戒</w:t>
            </w:r>
          </w:p>
        </w:tc>
        <w:tc>
          <w:tcPr>
            <w:tcW w:w="1323" w:type="dxa"/>
            <w:shd w:val="clear" w:color="auto" w:fill="auto"/>
            <w:vAlign w:val="center"/>
          </w:tcPr>
          <w:p w14:paraId="3EE0EA1F">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赵  勇</w:t>
            </w:r>
          </w:p>
        </w:tc>
        <w:tc>
          <w:tcPr>
            <w:tcW w:w="3025" w:type="dxa"/>
            <w:shd w:val="clear" w:color="auto" w:fill="auto"/>
            <w:vAlign w:val="center"/>
          </w:tcPr>
          <w:p w14:paraId="75B5FF6B">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中国农业大学发展规划处副处长</w:t>
            </w:r>
          </w:p>
        </w:tc>
        <w:tc>
          <w:tcPr>
            <w:tcW w:w="935" w:type="dxa"/>
            <w:shd w:val="clear" w:color="auto" w:fill="auto"/>
            <w:vAlign w:val="center"/>
          </w:tcPr>
          <w:p w14:paraId="0A54DA53">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1E95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7AD5B97F">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4FDDA96C">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遵循科研诚信要求 倡导负责任研究行为</w:t>
            </w:r>
          </w:p>
        </w:tc>
        <w:tc>
          <w:tcPr>
            <w:tcW w:w="1323" w:type="dxa"/>
            <w:shd w:val="clear" w:color="auto" w:fill="auto"/>
            <w:noWrap/>
            <w:vAlign w:val="center"/>
          </w:tcPr>
          <w:p w14:paraId="56124CF7">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袁军鹏</w:t>
            </w:r>
          </w:p>
        </w:tc>
        <w:tc>
          <w:tcPr>
            <w:tcW w:w="3025" w:type="dxa"/>
            <w:shd w:val="clear" w:color="auto" w:fill="auto"/>
            <w:vAlign w:val="center"/>
          </w:tcPr>
          <w:p w14:paraId="61340136">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中国科学院文献情报中心研究员</w:t>
            </w:r>
          </w:p>
        </w:tc>
        <w:tc>
          <w:tcPr>
            <w:tcW w:w="935" w:type="dxa"/>
            <w:shd w:val="clear" w:color="auto" w:fill="auto"/>
            <w:vAlign w:val="center"/>
          </w:tcPr>
          <w:p w14:paraId="24A109D6">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53A9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53047C6C">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4017" w:type="dxa"/>
            <w:gridSpan w:val="2"/>
            <w:shd w:val="clear" w:color="auto" w:fill="auto"/>
            <w:vAlign w:val="center"/>
          </w:tcPr>
          <w:p w14:paraId="06E0434D">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遵守科研诚信，抵制学术不端——学术不端和科研失信的具体表现及处理</w:t>
            </w:r>
          </w:p>
        </w:tc>
        <w:tc>
          <w:tcPr>
            <w:tcW w:w="1323" w:type="dxa"/>
            <w:shd w:val="clear" w:color="auto" w:fill="auto"/>
            <w:noWrap/>
            <w:vAlign w:val="center"/>
          </w:tcPr>
          <w:p w14:paraId="756A42EC">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  冉</w:t>
            </w:r>
          </w:p>
        </w:tc>
        <w:tc>
          <w:tcPr>
            <w:tcW w:w="3025" w:type="dxa"/>
            <w:shd w:val="clear" w:color="auto" w:fill="auto"/>
            <w:vAlign w:val="center"/>
          </w:tcPr>
          <w:p w14:paraId="32C7BB88">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北京大学教育学院副教授</w:t>
            </w:r>
          </w:p>
        </w:tc>
        <w:tc>
          <w:tcPr>
            <w:tcW w:w="935" w:type="dxa"/>
            <w:shd w:val="clear" w:color="auto" w:fill="auto"/>
            <w:vAlign w:val="center"/>
          </w:tcPr>
          <w:p w14:paraId="2373A790">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5F4D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restart"/>
            <w:shd w:val="clear" w:color="auto" w:fill="auto"/>
            <w:vAlign w:val="center"/>
          </w:tcPr>
          <w:p w14:paraId="3A02FD32">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师</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指</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能</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力</w:t>
            </w:r>
          </w:p>
        </w:tc>
        <w:tc>
          <w:tcPr>
            <w:tcW w:w="901" w:type="dxa"/>
            <w:vMerge w:val="restart"/>
            <w:shd w:val="clear" w:color="auto" w:fill="auto"/>
            <w:vAlign w:val="center"/>
          </w:tcPr>
          <w:p w14:paraId="656B4E7A">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学</w:t>
            </w:r>
          </w:p>
          <w:p w14:paraId="0F494AFD">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术</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指</w:t>
            </w:r>
          </w:p>
          <w:p w14:paraId="39C25508">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p>
        </w:tc>
        <w:tc>
          <w:tcPr>
            <w:tcW w:w="3116" w:type="dxa"/>
            <w:shd w:val="clear" w:color="auto" w:fill="auto"/>
            <w:vAlign w:val="center"/>
          </w:tcPr>
          <w:p w14:paraId="632A6481">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掌握科研方法，培育科技创新思维——研究生导师应掌握的典型科研方法与创新思维</w:t>
            </w:r>
          </w:p>
        </w:tc>
        <w:tc>
          <w:tcPr>
            <w:tcW w:w="1323" w:type="dxa"/>
            <w:vMerge w:val="restart"/>
            <w:shd w:val="clear" w:color="auto" w:fill="auto"/>
            <w:noWrap/>
            <w:vAlign w:val="center"/>
          </w:tcPr>
          <w:p w14:paraId="556897BC">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张伟刚</w:t>
            </w:r>
          </w:p>
        </w:tc>
        <w:tc>
          <w:tcPr>
            <w:tcW w:w="3025" w:type="dxa"/>
            <w:vMerge w:val="restart"/>
            <w:shd w:val="clear" w:color="auto" w:fill="auto"/>
            <w:vAlign w:val="center"/>
          </w:tcPr>
          <w:p w14:paraId="2ABBE6EC">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南开大学电子信息与光学工程学院现代光学研究所教授</w:t>
            </w:r>
          </w:p>
        </w:tc>
        <w:tc>
          <w:tcPr>
            <w:tcW w:w="935" w:type="dxa"/>
            <w:shd w:val="clear" w:color="auto" w:fill="auto"/>
            <w:vAlign w:val="center"/>
          </w:tcPr>
          <w:p w14:paraId="66F9048B">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必修</w:t>
            </w:r>
          </w:p>
        </w:tc>
      </w:tr>
      <w:tr w14:paraId="064C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1C069421">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5331B488">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2504FAD3">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报告编写、论文发表、成果应用——研究生导师应重视的科研创新能力培养途径</w:t>
            </w:r>
          </w:p>
        </w:tc>
        <w:tc>
          <w:tcPr>
            <w:tcW w:w="1323" w:type="dxa"/>
            <w:vMerge w:val="continue"/>
            <w:shd w:val="clear" w:color="auto" w:fill="auto"/>
            <w:noWrap/>
            <w:vAlign w:val="center"/>
          </w:tcPr>
          <w:p w14:paraId="5E410514">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3025" w:type="dxa"/>
            <w:vMerge w:val="continue"/>
            <w:shd w:val="clear" w:color="auto" w:fill="auto"/>
            <w:vAlign w:val="center"/>
          </w:tcPr>
          <w:p w14:paraId="145ADBA0">
            <w:pPr>
              <w:jc w:val="left"/>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935" w:type="dxa"/>
            <w:shd w:val="clear" w:color="auto" w:fill="auto"/>
            <w:vAlign w:val="center"/>
          </w:tcPr>
          <w:p w14:paraId="47926DE9">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0D26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353C192B">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7A0DC5C6">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0AEEE3C4">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问题、表征、方法、创新——研究生导师应修炼的四大学术指导能力</w:t>
            </w:r>
          </w:p>
        </w:tc>
        <w:tc>
          <w:tcPr>
            <w:tcW w:w="1323" w:type="dxa"/>
            <w:vMerge w:val="continue"/>
            <w:shd w:val="clear" w:color="auto" w:fill="auto"/>
            <w:noWrap/>
            <w:vAlign w:val="center"/>
          </w:tcPr>
          <w:p w14:paraId="4760563E">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3025" w:type="dxa"/>
            <w:vMerge w:val="continue"/>
            <w:shd w:val="clear" w:color="auto" w:fill="auto"/>
            <w:vAlign w:val="center"/>
          </w:tcPr>
          <w:p w14:paraId="0D871260">
            <w:pPr>
              <w:jc w:val="left"/>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935" w:type="dxa"/>
            <w:shd w:val="clear" w:color="auto" w:fill="auto"/>
            <w:vAlign w:val="center"/>
          </w:tcPr>
          <w:p w14:paraId="2C228715">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16DE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713B0AC5">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restart"/>
            <w:shd w:val="clear" w:color="auto" w:fill="auto"/>
            <w:vAlign w:val="center"/>
          </w:tcPr>
          <w:p w14:paraId="7EC4CD61">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写</w:t>
            </w:r>
          </w:p>
          <w:p w14:paraId="0F0AC7F4">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作</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指</w:t>
            </w:r>
          </w:p>
          <w:p w14:paraId="04A14966">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p>
        </w:tc>
        <w:tc>
          <w:tcPr>
            <w:tcW w:w="3116" w:type="dxa"/>
            <w:shd w:val="clear" w:color="auto" w:fill="auto"/>
            <w:vAlign w:val="center"/>
          </w:tcPr>
          <w:p w14:paraId="23E2E7D9">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学位论文撰写的基础与基本结构——以教育硕士论文写作为例</w:t>
            </w:r>
          </w:p>
        </w:tc>
        <w:tc>
          <w:tcPr>
            <w:tcW w:w="1323" w:type="dxa"/>
            <w:shd w:val="clear" w:color="auto" w:fill="auto"/>
            <w:vAlign w:val="center"/>
          </w:tcPr>
          <w:p w14:paraId="4E460406">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石  艳</w:t>
            </w:r>
          </w:p>
        </w:tc>
        <w:tc>
          <w:tcPr>
            <w:tcW w:w="3025" w:type="dxa"/>
            <w:shd w:val="clear" w:color="auto" w:fill="auto"/>
            <w:vAlign w:val="center"/>
          </w:tcPr>
          <w:p w14:paraId="56F8419A">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东北师范大学教授</w:t>
            </w:r>
          </w:p>
        </w:tc>
        <w:tc>
          <w:tcPr>
            <w:tcW w:w="935" w:type="dxa"/>
            <w:shd w:val="clear" w:color="auto" w:fill="auto"/>
            <w:vAlign w:val="center"/>
          </w:tcPr>
          <w:p w14:paraId="4CFA8EF3">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7D85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18ED92B8">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1EE0BD01">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305A0AD4">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研究生论文指导策略</w:t>
            </w:r>
          </w:p>
        </w:tc>
        <w:tc>
          <w:tcPr>
            <w:tcW w:w="1323" w:type="dxa"/>
            <w:shd w:val="clear" w:color="auto" w:fill="auto"/>
            <w:vAlign w:val="center"/>
          </w:tcPr>
          <w:p w14:paraId="198DCC4D">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熊庆旭</w:t>
            </w:r>
          </w:p>
        </w:tc>
        <w:tc>
          <w:tcPr>
            <w:tcW w:w="3025" w:type="dxa"/>
            <w:shd w:val="clear" w:color="auto" w:fill="auto"/>
            <w:vAlign w:val="center"/>
          </w:tcPr>
          <w:p w14:paraId="735523E8">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北京航空航天大学电子信息工程学院教授</w:t>
            </w:r>
          </w:p>
        </w:tc>
        <w:tc>
          <w:tcPr>
            <w:tcW w:w="935" w:type="dxa"/>
            <w:shd w:val="clear" w:color="auto" w:fill="auto"/>
            <w:vAlign w:val="center"/>
          </w:tcPr>
          <w:p w14:paraId="5BE1FF97">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4B97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00537CBD">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62F6333B">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7A05C83C">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怎样在国际三大核心期刊发表学术文章</w:t>
            </w:r>
          </w:p>
        </w:tc>
        <w:tc>
          <w:tcPr>
            <w:tcW w:w="1323" w:type="dxa"/>
            <w:shd w:val="clear" w:color="auto" w:fill="auto"/>
            <w:noWrap/>
            <w:vAlign w:val="center"/>
          </w:tcPr>
          <w:p w14:paraId="1C698E04">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田俊武</w:t>
            </w:r>
          </w:p>
        </w:tc>
        <w:tc>
          <w:tcPr>
            <w:tcW w:w="3025" w:type="dxa"/>
            <w:shd w:val="clear" w:color="auto" w:fill="auto"/>
            <w:vAlign w:val="center"/>
          </w:tcPr>
          <w:p w14:paraId="7EFF2698">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北京航空航天大学教授</w:t>
            </w:r>
          </w:p>
        </w:tc>
        <w:tc>
          <w:tcPr>
            <w:tcW w:w="935" w:type="dxa"/>
            <w:shd w:val="clear" w:color="auto" w:fill="auto"/>
            <w:vAlign w:val="center"/>
          </w:tcPr>
          <w:p w14:paraId="58DF8DC2">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1F07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73322548">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restart"/>
            <w:shd w:val="clear" w:color="auto" w:fill="auto"/>
            <w:vAlign w:val="center"/>
          </w:tcPr>
          <w:p w14:paraId="4350EB02">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学</w:t>
            </w:r>
          </w:p>
          <w:p w14:paraId="0DF2F822">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业</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指</w:t>
            </w:r>
          </w:p>
          <w:p w14:paraId="2EB6981E">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p>
        </w:tc>
        <w:tc>
          <w:tcPr>
            <w:tcW w:w="3116" w:type="dxa"/>
            <w:shd w:val="clear" w:color="auto" w:fill="auto"/>
            <w:vAlign w:val="center"/>
          </w:tcPr>
          <w:p w14:paraId="3A7702F4">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研究生一流课程的设计和建设</w:t>
            </w:r>
          </w:p>
        </w:tc>
        <w:tc>
          <w:tcPr>
            <w:tcW w:w="1323" w:type="dxa"/>
            <w:shd w:val="clear" w:color="auto" w:fill="auto"/>
            <w:vAlign w:val="center"/>
          </w:tcPr>
          <w:p w14:paraId="2C8FDE06">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张伟刚</w:t>
            </w:r>
          </w:p>
        </w:tc>
        <w:tc>
          <w:tcPr>
            <w:tcW w:w="3025" w:type="dxa"/>
            <w:shd w:val="clear" w:color="auto" w:fill="auto"/>
            <w:vAlign w:val="center"/>
          </w:tcPr>
          <w:p w14:paraId="3A2BD57E">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南开大学电子信息与光学工程学院现代光学研究所教授</w:t>
            </w:r>
          </w:p>
        </w:tc>
        <w:tc>
          <w:tcPr>
            <w:tcW w:w="935" w:type="dxa"/>
            <w:shd w:val="clear" w:color="auto" w:fill="auto"/>
            <w:vAlign w:val="center"/>
          </w:tcPr>
          <w:p w14:paraId="614FAA36">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5A5C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64360DE3">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588D023B">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3DD28AAE">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认识和把握研究生教学和本科生教学的不同</w:t>
            </w:r>
          </w:p>
        </w:tc>
        <w:tc>
          <w:tcPr>
            <w:tcW w:w="1323" w:type="dxa"/>
            <w:shd w:val="clear" w:color="auto" w:fill="auto"/>
            <w:noWrap/>
            <w:vAlign w:val="center"/>
          </w:tcPr>
          <w:p w14:paraId="11248908">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宋丽梅</w:t>
            </w:r>
          </w:p>
        </w:tc>
        <w:tc>
          <w:tcPr>
            <w:tcW w:w="3025" w:type="dxa"/>
            <w:shd w:val="clear" w:color="auto" w:fill="auto"/>
            <w:vAlign w:val="center"/>
          </w:tcPr>
          <w:p w14:paraId="04E4A8EB">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天津工业大学教授</w:t>
            </w:r>
          </w:p>
        </w:tc>
        <w:tc>
          <w:tcPr>
            <w:tcW w:w="935" w:type="dxa"/>
            <w:shd w:val="clear" w:color="auto" w:fill="auto"/>
            <w:vAlign w:val="center"/>
          </w:tcPr>
          <w:p w14:paraId="56115ECE">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1767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017C8CF5">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2A872A42">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2A7D0A53">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如何在研究生课程中开展研究型教学——以北航《信号与系统》课程为例</w:t>
            </w:r>
          </w:p>
        </w:tc>
        <w:tc>
          <w:tcPr>
            <w:tcW w:w="1323" w:type="dxa"/>
            <w:shd w:val="clear" w:color="auto" w:fill="auto"/>
            <w:vAlign w:val="center"/>
          </w:tcPr>
          <w:p w14:paraId="4AB8CF74">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熊庆旭</w:t>
            </w:r>
          </w:p>
        </w:tc>
        <w:tc>
          <w:tcPr>
            <w:tcW w:w="3025" w:type="dxa"/>
            <w:shd w:val="clear" w:color="auto" w:fill="auto"/>
            <w:vAlign w:val="center"/>
          </w:tcPr>
          <w:p w14:paraId="5E97B950">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北京航空航天大学电子信息工程学院教授</w:t>
            </w:r>
          </w:p>
        </w:tc>
        <w:tc>
          <w:tcPr>
            <w:tcW w:w="935" w:type="dxa"/>
            <w:shd w:val="clear" w:color="auto" w:fill="auto"/>
            <w:vAlign w:val="center"/>
          </w:tcPr>
          <w:p w14:paraId="73B64A42">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1FBD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6DC6C159">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restart"/>
            <w:shd w:val="clear" w:color="auto" w:fill="auto"/>
            <w:vAlign w:val="center"/>
          </w:tcPr>
          <w:p w14:paraId="3B23EA17">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心</w:t>
            </w:r>
          </w:p>
          <w:p w14:paraId="288172EE">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理</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辅</w:t>
            </w:r>
          </w:p>
          <w:p w14:paraId="63A26908">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p>
        </w:tc>
        <w:tc>
          <w:tcPr>
            <w:tcW w:w="3116" w:type="dxa"/>
            <w:shd w:val="clear" w:color="auto" w:fill="auto"/>
            <w:vAlign w:val="center"/>
          </w:tcPr>
          <w:p w14:paraId="732A247D">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研究生心理行为特点分析与日常教育策略</w:t>
            </w:r>
          </w:p>
        </w:tc>
        <w:tc>
          <w:tcPr>
            <w:tcW w:w="1323" w:type="dxa"/>
            <w:shd w:val="clear" w:color="auto" w:fill="auto"/>
            <w:noWrap/>
            <w:vAlign w:val="center"/>
          </w:tcPr>
          <w:p w14:paraId="5A4E75BD">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李旭珊</w:t>
            </w:r>
          </w:p>
        </w:tc>
        <w:tc>
          <w:tcPr>
            <w:tcW w:w="3025" w:type="dxa"/>
            <w:shd w:val="clear" w:color="auto" w:fill="auto"/>
            <w:vAlign w:val="center"/>
          </w:tcPr>
          <w:p w14:paraId="64A4CF83">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北京理工大学心理健康教育与咨询中心主任</w:t>
            </w:r>
          </w:p>
        </w:tc>
        <w:tc>
          <w:tcPr>
            <w:tcW w:w="935" w:type="dxa"/>
            <w:shd w:val="clear" w:color="auto" w:fill="auto"/>
            <w:vAlign w:val="center"/>
          </w:tcPr>
          <w:p w14:paraId="0DC2B3ED">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3453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589D0025">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5F8625E5">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2939652D">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关于“自杀危机评估与干预”的若干前置性问题</w:t>
            </w:r>
          </w:p>
        </w:tc>
        <w:tc>
          <w:tcPr>
            <w:tcW w:w="1323" w:type="dxa"/>
            <w:shd w:val="clear" w:color="auto" w:fill="auto"/>
            <w:vAlign w:val="center"/>
          </w:tcPr>
          <w:p w14:paraId="6C4AD92F">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  楠</w:t>
            </w:r>
          </w:p>
        </w:tc>
        <w:tc>
          <w:tcPr>
            <w:tcW w:w="3025" w:type="dxa"/>
            <w:shd w:val="clear" w:color="auto" w:fill="auto"/>
            <w:vAlign w:val="center"/>
          </w:tcPr>
          <w:p w14:paraId="5F24E007">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西安交通大学马克思主义学院副教授</w:t>
            </w:r>
          </w:p>
        </w:tc>
        <w:tc>
          <w:tcPr>
            <w:tcW w:w="935" w:type="dxa"/>
            <w:shd w:val="clear" w:color="auto" w:fill="auto"/>
            <w:vAlign w:val="center"/>
          </w:tcPr>
          <w:p w14:paraId="490310AE">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3C84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00F51469">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363032C8">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0C722FD8">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心理健康教育指导典型案例申报再思考</w:t>
            </w:r>
          </w:p>
        </w:tc>
        <w:tc>
          <w:tcPr>
            <w:tcW w:w="1323" w:type="dxa"/>
            <w:shd w:val="clear" w:color="auto" w:fill="auto"/>
            <w:vAlign w:val="center"/>
          </w:tcPr>
          <w:p w14:paraId="38AB047B">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孙  辰</w:t>
            </w:r>
          </w:p>
        </w:tc>
        <w:tc>
          <w:tcPr>
            <w:tcW w:w="3025" w:type="dxa"/>
            <w:shd w:val="clear" w:color="auto" w:fill="auto"/>
            <w:vAlign w:val="center"/>
          </w:tcPr>
          <w:p w14:paraId="3604F3D3">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西南大学心理健康教育与服务中心副主任</w:t>
            </w:r>
          </w:p>
        </w:tc>
        <w:tc>
          <w:tcPr>
            <w:tcW w:w="935" w:type="dxa"/>
            <w:shd w:val="clear" w:color="auto" w:fill="auto"/>
            <w:vAlign w:val="center"/>
          </w:tcPr>
          <w:p w14:paraId="45C6C840">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235A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restart"/>
            <w:shd w:val="clear" w:color="auto" w:fill="auto"/>
            <w:vAlign w:val="center"/>
          </w:tcPr>
          <w:p w14:paraId="42977DB8">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和</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谐</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学</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关</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系</w:t>
            </w:r>
          </w:p>
        </w:tc>
        <w:tc>
          <w:tcPr>
            <w:tcW w:w="901" w:type="dxa"/>
            <w:vMerge w:val="restart"/>
            <w:shd w:val="clear" w:color="auto" w:fill="auto"/>
            <w:vAlign w:val="center"/>
          </w:tcPr>
          <w:p w14:paraId="6CF392F5">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做</w:t>
            </w:r>
          </w:p>
          <w:p w14:paraId="25228F07">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好</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p>
          <w:p w14:paraId="1281D518">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师</w:t>
            </w:r>
          </w:p>
        </w:tc>
        <w:tc>
          <w:tcPr>
            <w:tcW w:w="3116" w:type="dxa"/>
            <w:shd w:val="clear" w:color="auto" w:fill="auto"/>
            <w:vAlign w:val="center"/>
          </w:tcPr>
          <w:p w14:paraId="06CC25C8">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教以传道，学以研创，教与学融合——研究生导师应掌握的教与学之道</w:t>
            </w:r>
          </w:p>
        </w:tc>
        <w:tc>
          <w:tcPr>
            <w:tcW w:w="1323" w:type="dxa"/>
            <w:shd w:val="clear" w:color="auto" w:fill="auto"/>
            <w:vAlign w:val="center"/>
          </w:tcPr>
          <w:p w14:paraId="4151F2C0">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张伟刚</w:t>
            </w:r>
          </w:p>
        </w:tc>
        <w:tc>
          <w:tcPr>
            <w:tcW w:w="3025" w:type="dxa"/>
            <w:shd w:val="clear" w:color="auto" w:fill="auto"/>
            <w:vAlign w:val="center"/>
          </w:tcPr>
          <w:p w14:paraId="4C70AC41">
            <w:pPr>
              <w:keepNext w:val="0"/>
              <w:keepLines w:val="0"/>
              <w:widowControl/>
              <w:suppressLineNumbers w:val="0"/>
              <w:jc w:val="left"/>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南开大学电子信息与光学工程学院现代光学研究所教授</w:t>
            </w:r>
          </w:p>
        </w:tc>
        <w:tc>
          <w:tcPr>
            <w:tcW w:w="935" w:type="dxa"/>
            <w:shd w:val="clear" w:color="auto" w:fill="auto"/>
            <w:vAlign w:val="center"/>
          </w:tcPr>
          <w:p w14:paraId="31723F3E">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必修</w:t>
            </w:r>
          </w:p>
        </w:tc>
      </w:tr>
      <w:tr w14:paraId="7467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05B507D0">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0AB279E7">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3DD3FAEC">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研究生导师素养提升的导学、导研与导心</w:t>
            </w:r>
          </w:p>
        </w:tc>
        <w:tc>
          <w:tcPr>
            <w:tcW w:w="1323" w:type="dxa"/>
            <w:shd w:val="clear" w:color="auto" w:fill="auto"/>
            <w:noWrap/>
            <w:vAlign w:val="center"/>
          </w:tcPr>
          <w:p w14:paraId="0B1A43B7">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毛浩然</w:t>
            </w:r>
          </w:p>
        </w:tc>
        <w:tc>
          <w:tcPr>
            <w:tcW w:w="3025" w:type="dxa"/>
            <w:shd w:val="clear" w:color="auto" w:fill="auto"/>
            <w:noWrap/>
            <w:vAlign w:val="center"/>
          </w:tcPr>
          <w:p w14:paraId="3A06294D">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中国石油大学（华东）外国语学院院长</w:t>
            </w:r>
          </w:p>
        </w:tc>
        <w:tc>
          <w:tcPr>
            <w:tcW w:w="935" w:type="dxa"/>
            <w:shd w:val="clear" w:color="auto" w:fill="auto"/>
            <w:noWrap/>
            <w:vAlign w:val="center"/>
          </w:tcPr>
          <w:p w14:paraId="48816A26">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0B51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63BC0B49">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1CD93E7E">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66E65BF0">
            <w:pPr>
              <w:keepNext w:val="0"/>
              <w:keepLines w:val="0"/>
              <w:widowControl/>
              <w:suppressLineNumbers w:val="0"/>
              <w:jc w:val="left"/>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研究生导师如何与研究生共同成长</w:t>
            </w:r>
          </w:p>
        </w:tc>
        <w:tc>
          <w:tcPr>
            <w:tcW w:w="1323" w:type="dxa"/>
            <w:shd w:val="clear" w:color="auto" w:fill="auto"/>
            <w:noWrap/>
            <w:vAlign w:val="center"/>
          </w:tcPr>
          <w:p w14:paraId="43BF8186">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田丽丽</w:t>
            </w:r>
          </w:p>
        </w:tc>
        <w:tc>
          <w:tcPr>
            <w:tcW w:w="3025" w:type="dxa"/>
            <w:shd w:val="clear" w:color="auto" w:fill="auto"/>
            <w:vAlign w:val="center"/>
          </w:tcPr>
          <w:p w14:paraId="2C215BA4">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华南师范大学心理学院应用心理学系主任、教授</w:t>
            </w:r>
          </w:p>
        </w:tc>
        <w:tc>
          <w:tcPr>
            <w:tcW w:w="935" w:type="dxa"/>
            <w:shd w:val="clear" w:color="auto" w:fill="auto"/>
            <w:vAlign w:val="center"/>
          </w:tcPr>
          <w:p w14:paraId="3CDF31B7">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26E5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36AEADCD">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restart"/>
            <w:shd w:val="clear" w:color="auto" w:fill="auto"/>
            <w:vAlign w:val="center"/>
          </w:tcPr>
          <w:p w14:paraId="4991AAFC">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做</w:t>
            </w:r>
          </w:p>
          <w:p w14:paraId="307542C3">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好</w:t>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br w:type="textWrapping"/>
            </w: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导</w:t>
            </w:r>
          </w:p>
          <w:p w14:paraId="7A89C9E1">
            <w:pPr>
              <w:keepNext w:val="0"/>
              <w:keepLines w:val="0"/>
              <w:widowControl/>
              <w:suppressLineNumbers w:val="0"/>
              <w:jc w:val="center"/>
              <w:textAlignment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b/>
                <w:bCs/>
                <w:i w:val="0"/>
                <w:iCs w:val="0"/>
                <w:color w:val="000000" w:themeColor="text1"/>
                <w:kern w:val="0"/>
                <w:sz w:val="24"/>
                <w:szCs w:val="22"/>
                <w:u w:val="none"/>
                <w:lang w:val="en-US" w:eastAsia="zh-CN" w:bidi="ar"/>
                <w14:textFill>
                  <w14:solidFill>
                    <w14:schemeClr w14:val="tx1"/>
                  </w14:solidFill>
                </w14:textFill>
              </w:rPr>
              <w:t>学</w:t>
            </w:r>
          </w:p>
        </w:tc>
        <w:tc>
          <w:tcPr>
            <w:tcW w:w="3116" w:type="dxa"/>
            <w:shd w:val="clear" w:color="auto" w:fill="auto"/>
            <w:vAlign w:val="center"/>
          </w:tcPr>
          <w:p w14:paraId="0137992C">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研究生导学关系优化策略</w:t>
            </w:r>
          </w:p>
        </w:tc>
        <w:tc>
          <w:tcPr>
            <w:tcW w:w="1323" w:type="dxa"/>
            <w:shd w:val="clear" w:color="auto" w:fill="auto"/>
            <w:noWrap/>
            <w:vAlign w:val="center"/>
          </w:tcPr>
          <w:p w14:paraId="1D47976F">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段鑫星</w:t>
            </w:r>
          </w:p>
        </w:tc>
        <w:tc>
          <w:tcPr>
            <w:tcW w:w="3025" w:type="dxa"/>
            <w:shd w:val="clear" w:color="auto" w:fill="auto"/>
            <w:vAlign w:val="center"/>
          </w:tcPr>
          <w:p w14:paraId="70833869">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中国矿业大学公共管理学院教授，博士生导师</w:t>
            </w:r>
          </w:p>
        </w:tc>
        <w:tc>
          <w:tcPr>
            <w:tcW w:w="935" w:type="dxa"/>
            <w:shd w:val="clear" w:color="auto" w:fill="auto"/>
            <w:vAlign w:val="center"/>
          </w:tcPr>
          <w:p w14:paraId="4BB51693">
            <w:pPr>
              <w:keepNext w:val="0"/>
              <w:keepLines w:val="0"/>
              <w:widowControl/>
              <w:suppressLineNumbers w:val="0"/>
              <w:jc w:val="center"/>
              <w:textAlignment w:val="center"/>
              <w:rPr>
                <w:rFonts w:hint="default"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必修</w:t>
            </w:r>
          </w:p>
        </w:tc>
      </w:tr>
      <w:tr w14:paraId="4D4E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12A900B3">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21A66869">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411004E3">
            <w:pPr>
              <w:keepNext w:val="0"/>
              <w:keepLines w:val="0"/>
              <w:widowControl/>
              <w:suppressLineNumbers w:val="0"/>
              <w:jc w:val="both"/>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科学建团、导学相长、合作共赢——研究生导师需要把握的科研团队管理方法和策略</w:t>
            </w:r>
          </w:p>
        </w:tc>
        <w:tc>
          <w:tcPr>
            <w:tcW w:w="1323" w:type="dxa"/>
            <w:shd w:val="clear" w:color="auto" w:fill="auto"/>
            <w:vAlign w:val="center"/>
          </w:tcPr>
          <w:p w14:paraId="14A88F24">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张伟刚</w:t>
            </w:r>
          </w:p>
        </w:tc>
        <w:tc>
          <w:tcPr>
            <w:tcW w:w="3025" w:type="dxa"/>
            <w:shd w:val="clear" w:color="auto" w:fill="auto"/>
            <w:vAlign w:val="center"/>
          </w:tcPr>
          <w:p w14:paraId="2CA6BF3C">
            <w:pPr>
              <w:keepNext w:val="0"/>
              <w:keepLines w:val="0"/>
              <w:widowControl/>
              <w:suppressLineNumbers w:val="0"/>
              <w:jc w:val="both"/>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南开大学电子信息与光学工程学院现代光学研究所教授</w:t>
            </w:r>
          </w:p>
        </w:tc>
        <w:tc>
          <w:tcPr>
            <w:tcW w:w="935" w:type="dxa"/>
            <w:shd w:val="clear" w:color="auto" w:fill="auto"/>
            <w:vAlign w:val="center"/>
          </w:tcPr>
          <w:p w14:paraId="20CB5DEE">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r w14:paraId="3032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042" w:type="dxa"/>
            <w:vMerge w:val="continue"/>
            <w:shd w:val="clear" w:color="auto" w:fill="auto"/>
            <w:vAlign w:val="center"/>
          </w:tcPr>
          <w:p w14:paraId="362E9DDE">
            <w:pPr>
              <w:jc w:val="center"/>
              <w:rPr>
                <w:rFonts w:hint="eastAsia" w:ascii="Times New Roman" w:hAnsi="Times New Roman" w:eastAsia="仿宋_GB2312" w:cs="等线"/>
                <w:b/>
                <w:bCs/>
                <w:i w:val="0"/>
                <w:iCs w:val="0"/>
                <w:color w:val="000000" w:themeColor="text1"/>
                <w:sz w:val="24"/>
                <w:szCs w:val="22"/>
                <w:u w:val="none"/>
                <w14:textFill>
                  <w14:solidFill>
                    <w14:schemeClr w14:val="tx1"/>
                  </w14:solidFill>
                </w14:textFill>
              </w:rPr>
            </w:pPr>
          </w:p>
        </w:tc>
        <w:tc>
          <w:tcPr>
            <w:tcW w:w="901" w:type="dxa"/>
            <w:vMerge w:val="continue"/>
            <w:shd w:val="clear" w:color="auto" w:fill="auto"/>
            <w:vAlign w:val="center"/>
          </w:tcPr>
          <w:p w14:paraId="3E670F15">
            <w:pPr>
              <w:jc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p>
        </w:tc>
        <w:tc>
          <w:tcPr>
            <w:tcW w:w="3116" w:type="dxa"/>
            <w:shd w:val="clear" w:color="auto" w:fill="auto"/>
            <w:vAlign w:val="center"/>
          </w:tcPr>
          <w:p w14:paraId="57F54F6E">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导师如何有效促进师生间的高效交流</w:t>
            </w:r>
          </w:p>
        </w:tc>
        <w:tc>
          <w:tcPr>
            <w:tcW w:w="1323" w:type="dxa"/>
            <w:shd w:val="clear" w:color="auto" w:fill="auto"/>
            <w:noWrap/>
            <w:vAlign w:val="center"/>
          </w:tcPr>
          <w:p w14:paraId="75932368">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李  静</w:t>
            </w:r>
          </w:p>
        </w:tc>
        <w:tc>
          <w:tcPr>
            <w:tcW w:w="3025" w:type="dxa"/>
            <w:shd w:val="clear" w:color="auto" w:fill="auto"/>
            <w:vAlign w:val="center"/>
          </w:tcPr>
          <w:p w14:paraId="23D0C436">
            <w:pPr>
              <w:keepNext w:val="0"/>
              <w:keepLines w:val="0"/>
              <w:widowControl/>
              <w:suppressLineNumbers w:val="0"/>
              <w:jc w:val="both"/>
              <w:textAlignment w:val="center"/>
              <w:rPr>
                <w:rFonts w:hint="eastAsia" w:ascii="Times New Roman" w:hAnsi="Times New Roman" w:eastAsia="仿宋_GB2312" w:cs="等线"/>
                <w:i w:val="0"/>
                <w:iCs w:val="0"/>
                <w:color w:val="000000" w:themeColor="text1"/>
                <w:sz w:val="24"/>
                <w:szCs w:val="22"/>
                <w:u w:val="none"/>
                <w14:textFill>
                  <w14:solidFill>
                    <w14:schemeClr w14:val="tx1"/>
                  </w14:solidFill>
                </w14:textFill>
              </w:rPr>
            </w:pPr>
            <w: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t>北京师范大学经济与工商管理学院MBA教育中心副主任</w:t>
            </w:r>
          </w:p>
        </w:tc>
        <w:tc>
          <w:tcPr>
            <w:tcW w:w="935" w:type="dxa"/>
            <w:shd w:val="clear" w:color="auto" w:fill="auto"/>
            <w:vAlign w:val="center"/>
          </w:tcPr>
          <w:p w14:paraId="70D8C970">
            <w:pPr>
              <w:keepNext w:val="0"/>
              <w:keepLines w:val="0"/>
              <w:widowControl/>
              <w:suppressLineNumbers w:val="0"/>
              <w:jc w:val="center"/>
              <w:textAlignment w:val="center"/>
              <w:rPr>
                <w:rFonts w:hint="eastAsia" w:ascii="Times New Roman" w:hAnsi="Times New Roman" w:eastAsia="仿宋_GB2312" w:cs="等线"/>
                <w:i w:val="0"/>
                <w:iCs w:val="0"/>
                <w:color w:val="000000" w:themeColor="text1"/>
                <w:kern w:val="0"/>
                <w:sz w:val="24"/>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选修</w:t>
            </w:r>
          </w:p>
        </w:tc>
      </w:tr>
    </w:tbl>
    <w:p w14:paraId="62D5FC6C">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84FF2E-36DC-44AC-A756-F9B6CB4AE5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B3CA058-25CB-4DAD-9AAF-011B9E4ED2A1}"/>
  </w:font>
  <w:font w:name="仿宋_GB2312">
    <w:panose1 w:val="02010609030101010101"/>
    <w:charset w:val="86"/>
    <w:family w:val="auto"/>
    <w:pitch w:val="default"/>
    <w:sig w:usb0="00000001" w:usb1="080E0000" w:usb2="00000000" w:usb3="00000000" w:csb0="00040000" w:csb1="00000000"/>
    <w:embedRegular r:id="rId3" w:fontKey="{3D0E47EA-98DD-47BD-9A82-9D08644BF4B5}"/>
  </w:font>
  <w:font w:name="华文中宋">
    <w:panose1 w:val="02010600040101010101"/>
    <w:charset w:val="86"/>
    <w:family w:val="auto"/>
    <w:pitch w:val="default"/>
    <w:sig w:usb0="00000287" w:usb1="080F0000" w:usb2="00000000" w:usb3="00000000" w:csb0="0004009F" w:csb1="DFD70000"/>
    <w:embedRegular r:id="rId4" w:fontKey="{07B29570-5515-49F0-89AC-E15A1ADF3A9B}"/>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D791FF25-CB74-4B9C-836D-D24CF90AD9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mVhZDE0MTQwYjI0ZjIwNWFmMjU1ZjYzNDE4N2EifQ=="/>
  </w:docVars>
  <w:rsids>
    <w:rsidRoot w:val="00000000"/>
    <w:rsid w:val="00C558D8"/>
    <w:rsid w:val="01B44C1C"/>
    <w:rsid w:val="01CD6F96"/>
    <w:rsid w:val="024B24C8"/>
    <w:rsid w:val="04F718EB"/>
    <w:rsid w:val="06194ACF"/>
    <w:rsid w:val="09714512"/>
    <w:rsid w:val="0A2E4C17"/>
    <w:rsid w:val="0AE43E89"/>
    <w:rsid w:val="0AF52632"/>
    <w:rsid w:val="0C0C55EC"/>
    <w:rsid w:val="0CED38F3"/>
    <w:rsid w:val="106E1D01"/>
    <w:rsid w:val="10F51413"/>
    <w:rsid w:val="10F92125"/>
    <w:rsid w:val="12940358"/>
    <w:rsid w:val="163120F8"/>
    <w:rsid w:val="1900246F"/>
    <w:rsid w:val="1D801A9C"/>
    <w:rsid w:val="1D8D4630"/>
    <w:rsid w:val="1D9C55E7"/>
    <w:rsid w:val="232E0BFC"/>
    <w:rsid w:val="238B41EA"/>
    <w:rsid w:val="23D20CE0"/>
    <w:rsid w:val="24EB139C"/>
    <w:rsid w:val="25757B75"/>
    <w:rsid w:val="25FF545E"/>
    <w:rsid w:val="272F24B1"/>
    <w:rsid w:val="2E8E0BA0"/>
    <w:rsid w:val="2F45391D"/>
    <w:rsid w:val="30470A56"/>
    <w:rsid w:val="307011D9"/>
    <w:rsid w:val="30E11C1B"/>
    <w:rsid w:val="31280D3C"/>
    <w:rsid w:val="32CA60AC"/>
    <w:rsid w:val="34D93B83"/>
    <w:rsid w:val="3543036B"/>
    <w:rsid w:val="38366443"/>
    <w:rsid w:val="390D6D54"/>
    <w:rsid w:val="399535F3"/>
    <w:rsid w:val="39C53E0B"/>
    <w:rsid w:val="3A8F74D3"/>
    <w:rsid w:val="3AF95669"/>
    <w:rsid w:val="3D4F6DBC"/>
    <w:rsid w:val="3DAB0AC3"/>
    <w:rsid w:val="3FE032F4"/>
    <w:rsid w:val="41775BC8"/>
    <w:rsid w:val="43FE1BE1"/>
    <w:rsid w:val="45F445D0"/>
    <w:rsid w:val="46004F1F"/>
    <w:rsid w:val="46A45D7F"/>
    <w:rsid w:val="475C6147"/>
    <w:rsid w:val="47C775C1"/>
    <w:rsid w:val="48312116"/>
    <w:rsid w:val="489C757C"/>
    <w:rsid w:val="48BB76D5"/>
    <w:rsid w:val="49733DCB"/>
    <w:rsid w:val="4BAA543D"/>
    <w:rsid w:val="4BE94BF7"/>
    <w:rsid w:val="4D6675F5"/>
    <w:rsid w:val="4E157139"/>
    <w:rsid w:val="4F037637"/>
    <w:rsid w:val="52C07FF6"/>
    <w:rsid w:val="534A12FC"/>
    <w:rsid w:val="562D2167"/>
    <w:rsid w:val="59C32C4A"/>
    <w:rsid w:val="5C4B5513"/>
    <w:rsid w:val="5C946C15"/>
    <w:rsid w:val="5F280BC5"/>
    <w:rsid w:val="630C3C2D"/>
    <w:rsid w:val="66C03604"/>
    <w:rsid w:val="69401815"/>
    <w:rsid w:val="694B22F0"/>
    <w:rsid w:val="6AE35F72"/>
    <w:rsid w:val="6AE6734C"/>
    <w:rsid w:val="6D080B3A"/>
    <w:rsid w:val="6D2F5589"/>
    <w:rsid w:val="6E813051"/>
    <w:rsid w:val="70E26641"/>
    <w:rsid w:val="7152257D"/>
    <w:rsid w:val="754F48E8"/>
    <w:rsid w:val="79BE0679"/>
    <w:rsid w:val="7C737DD3"/>
    <w:rsid w:val="7EEC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Lines="100" w:afterLines="100" w:line="360" w:lineRule="auto"/>
      <w:jc w:val="center"/>
      <w:outlineLvl w:val="0"/>
    </w:pPr>
    <w:rPr>
      <w:rFonts w:ascii="Calibri" w:hAnsi="Calibri" w:eastAsia="宋体" w:cs="Arial"/>
      <w:bCs/>
      <w:kern w:val="44"/>
      <w:sz w:val="32"/>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autoRedefine/>
    <w:qFormat/>
    <w:uiPriority w:val="0"/>
    <w:rPr>
      <w:color w:val="0000FF"/>
      <w:u w:val="single"/>
    </w:rPr>
  </w:style>
  <w:style w:type="character" w:customStyle="1" w:styleId="6">
    <w:name w:val="font51"/>
    <w:basedOn w:val="4"/>
    <w:autoRedefine/>
    <w:qFormat/>
    <w:uiPriority w:val="0"/>
    <w:rPr>
      <w:rFonts w:hint="default" w:ascii="等线" w:hAnsi="等线" w:eastAsia="等线" w:cs="等线"/>
      <w:color w:val="000000"/>
      <w:sz w:val="22"/>
      <w:szCs w:val="22"/>
      <w:u w:val="none"/>
    </w:rPr>
  </w:style>
  <w:style w:type="character" w:customStyle="1" w:styleId="7">
    <w:name w:val="font112"/>
    <w:basedOn w:val="4"/>
    <w:autoRedefine/>
    <w:qFormat/>
    <w:uiPriority w:val="0"/>
    <w:rPr>
      <w:rFonts w:ascii="仿宋_GB2312" w:eastAsia="仿宋_GB2312" w:cs="仿宋_GB2312"/>
      <w:color w:val="000000"/>
      <w:sz w:val="24"/>
      <w:szCs w:val="24"/>
      <w:u w:val="none"/>
    </w:rPr>
  </w:style>
  <w:style w:type="character" w:customStyle="1" w:styleId="8">
    <w:name w:val="font31"/>
    <w:basedOn w:val="4"/>
    <w:autoRedefine/>
    <w:qFormat/>
    <w:uiPriority w:val="0"/>
    <w:rPr>
      <w:rFonts w:hint="eastAsia" w:ascii="宋体" w:hAnsi="宋体" w:eastAsia="宋体" w:cs="宋体"/>
      <w:color w:val="000000"/>
      <w:sz w:val="22"/>
      <w:szCs w:val="22"/>
      <w:u w:val="none"/>
    </w:rPr>
  </w:style>
  <w:style w:type="character" w:customStyle="1" w:styleId="9">
    <w:name w:val="font41"/>
    <w:basedOn w:val="4"/>
    <w:autoRedefine/>
    <w:qFormat/>
    <w:uiPriority w:val="0"/>
    <w:rPr>
      <w:rFonts w:hint="eastAsia" w:ascii="宋体" w:hAnsi="宋体" w:eastAsia="宋体" w:cs="宋体"/>
      <w:color w:val="000000"/>
      <w:sz w:val="22"/>
      <w:szCs w:val="22"/>
      <w:u w:val="none"/>
    </w:rPr>
  </w:style>
  <w:style w:type="character" w:customStyle="1" w:styleId="10">
    <w:name w:val="font21"/>
    <w:basedOn w:val="4"/>
    <w:autoRedefine/>
    <w:qFormat/>
    <w:uiPriority w:val="0"/>
    <w:rPr>
      <w:rFonts w:hint="eastAsia" w:ascii="宋体" w:hAnsi="宋体" w:eastAsia="宋体" w:cs="宋体"/>
      <w:color w:val="000000"/>
      <w:sz w:val="22"/>
      <w:szCs w:val="22"/>
      <w:u w:val="none"/>
    </w:rPr>
  </w:style>
  <w:style w:type="character" w:customStyle="1" w:styleId="11">
    <w:name w:val="font11"/>
    <w:basedOn w:val="4"/>
    <w:qFormat/>
    <w:uiPriority w:val="0"/>
    <w:rPr>
      <w:rFonts w:hint="eastAsia" w:ascii="宋体" w:hAnsi="宋体" w:eastAsia="宋体" w:cs="宋体"/>
      <w:color w:val="000000"/>
      <w:sz w:val="22"/>
      <w:szCs w:val="22"/>
      <w:u w:val="none"/>
    </w:rPr>
  </w:style>
  <w:style w:type="character" w:customStyle="1" w:styleId="12">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3033</Words>
  <Characters>3142</Characters>
  <Lines>0</Lines>
  <Paragraphs>0</Paragraphs>
  <TotalTime>186</TotalTime>
  <ScaleCrop>false</ScaleCrop>
  <LinksUpToDate>false</LinksUpToDate>
  <CharactersWithSpaces>3247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2021-10-08T02:17:00Z</dcterms:created>
  <dc:creator>SJH</dc:creator>
  <cp:lastModifiedBy>邵晋辉</cp:lastModifiedBy>
  <cp:lastPrinted>2021-10-14T06:52:00Z</cp:lastPrinted>
  <dcterms:modified xsi:type="dcterms:W3CDTF">2025-07-08T08:07:14Z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082E0520EA924A27AB4B787CAFB19F0D</vt:lpwstr>
  </property>
  <property fmtid="{D5CDD505-2E9C-101B-9397-08002B2CF9AE}" pid="4" name="KSOTemplateDocerSaveRecord">
    <vt:lpwstr>eyJoZGlkIjoiYjZmMmVhZDE0MTQwYjI0ZjIwNWFmMjU1ZjYzNDE4N2EiLCJ1c2VySWQiOiI5MDMzNTI4ODUifQ==</vt:lpwstr>
  </property>
</Properties>
</file>